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EF45" w14:textId="2B738CA1" w:rsidR="00F361BC" w:rsidRPr="003865F3" w:rsidRDefault="00E4196E" w:rsidP="00F361BC">
      <w:pPr>
        <w:pStyle w:val="Title"/>
        <w:rPr>
          <w:color w:val="FF0000"/>
          <w:lang w:val="fr-FR"/>
        </w:rPr>
      </w:pPr>
      <w:r w:rsidRPr="003865F3">
        <w:rPr>
          <w:color w:val="FF0000"/>
          <w:lang w:val="fr-FR"/>
        </w:rPr>
        <w:t>(</w:t>
      </w:r>
      <w:r w:rsidR="00ED51BB" w:rsidRPr="003865F3">
        <w:rPr>
          <w:color w:val="FF0000"/>
          <w:lang w:val="fr-FR"/>
        </w:rPr>
        <w:t>Pays</w:t>
      </w:r>
      <w:r w:rsidRPr="003865F3">
        <w:rPr>
          <w:color w:val="FF0000"/>
          <w:lang w:val="fr-FR"/>
        </w:rPr>
        <w:t>/</w:t>
      </w:r>
      <w:r w:rsidR="00ED51BB" w:rsidRPr="003865F3">
        <w:rPr>
          <w:color w:val="FF0000"/>
          <w:lang w:val="fr-FR"/>
        </w:rPr>
        <w:t>enqu</w:t>
      </w:r>
      <w:r w:rsidR="007A7BCC" w:rsidRPr="003865F3">
        <w:rPr>
          <w:color w:val="FF0000"/>
          <w:lang w:val="fr-FR"/>
        </w:rPr>
        <w:t>Ê</w:t>
      </w:r>
      <w:r w:rsidR="00ED51BB" w:rsidRPr="003865F3">
        <w:rPr>
          <w:color w:val="FF0000"/>
          <w:lang w:val="fr-FR"/>
        </w:rPr>
        <w:t>te</w:t>
      </w:r>
      <w:r w:rsidRPr="003865F3">
        <w:rPr>
          <w:color w:val="FF0000"/>
          <w:lang w:val="fr-FR"/>
        </w:rPr>
        <w:t xml:space="preserve">, </w:t>
      </w:r>
      <w:r w:rsidR="007A7BCC" w:rsidRPr="003865F3">
        <w:rPr>
          <w:color w:val="FF0000"/>
          <w:lang w:val="fr-FR"/>
        </w:rPr>
        <w:t>annÉ</w:t>
      </w:r>
      <w:r w:rsidR="00ED51BB" w:rsidRPr="003865F3">
        <w:rPr>
          <w:color w:val="FF0000"/>
          <w:lang w:val="fr-FR"/>
        </w:rPr>
        <w:t>e</w:t>
      </w:r>
      <w:r w:rsidRPr="003865F3">
        <w:rPr>
          <w:color w:val="FF0000"/>
          <w:lang w:val="fr-FR"/>
        </w:rPr>
        <w:t xml:space="preserve">) </w:t>
      </w:r>
      <w:r w:rsidR="00652219" w:rsidRPr="003865F3">
        <w:rPr>
          <w:lang w:val="fr-FR"/>
        </w:rPr>
        <w:t>Pro</w:t>
      </w:r>
      <w:r w:rsidR="00ED51BB" w:rsidRPr="003865F3">
        <w:rPr>
          <w:lang w:val="fr-FR"/>
        </w:rPr>
        <w:t xml:space="preserve">tocole de protection </w:t>
      </w:r>
    </w:p>
    <w:p w14:paraId="039ACBC0" w14:textId="03729E6F" w:rsidR="00F361BC" w:rsidRPr="003865F3" w:rsidRDefault="00C06967" w:rsidP="00F361BC">
      <w:pPr>
        <w:pStyle w:val="Heading1"/>
        <w:rPr>
          <w:lang w:val="fr-FR"/>
        </w:rPr>
      </w:pPr>
      <w:bookmarkStart w:id="0" w:name="_Toc115100838"/>
      <w:r w:rsidRPr="003865F3">
        <w:rPr>
          <w:lang w:val="fr-FR"/>
        </w:rPr>
        <w:t>Introduction</w:t>
      </w:r>
      <w:bookmarkEnd w:id="0"/>
    </w:p>
    <w:p w14:paraId="711FEFF7" w14:textId="522403EE" w:rsidR="000F37F2" w:rsidRPr="003865F3" w:rsidRDefault="000F37F2">
      <w:pPr>
        <w:rPr>
          <w:lang w:val="fr-FR"/>
        </w:rPr>
      </w:pPr>
      <w:r w:rsidRPr="003865F3">
        <w:rPr>
          <w:lang w:val="fr-FR"/>
        </w:rPr>
        <w:t xml:space="preserve">Le protocole de protection des MICS identifie les risques anticipés ou réels tout au long du processus d'enquête, en particulier en ce qui concerne les considérations éthiques suivantes : préjudices et avantages potentiels pour les participants, processus de consentement éclairé, protection de la vie privée et </w:t>
      </w:r>
      <w:r w:rsidR="00A01A7F" w:rsidRPr="003865F3">
        <w:rPr>
          <w:lang w:val="fr-FR"/>
        </w:rPr>
        <w:t xml:space="preserve">de la </w:t>
      </w:r>
      <w:r w:rsidRPr="003865F3">
        <w:rPr>
          <w:lang w:val="fr-FR"/>
        </w:rPr>
        <w:t>confidentialité, plaintes et préoccupations des participants. Le protocole identifie également les mesures et les procédures prévues ou adoptées pour faire face à ces risques ou les atténuer. Les risques éthiques potentiels et les stratégies d'atténuation inclus dans ce protocole ont été pris en co</w:t>
      </w:r>
      <w:r w:rsidR="00A01A7F" w:rsidRPr="003865F3">
        <w:rPr>
          <w:lang w:val="fr-FR"/>
        </w:rPr>
        <w:t>nsidération</w:t>
      </w:r>
      <w:r w:rsidRPr="003865F3">
        <w:rPr>
          <w:lang w:val="fr-FR"/>
        </w:rPr>
        <w:t xml:space="preserve"> et examinés dans le cadre du processus plus large d'assurance qualité de l'enquête par le comité </w:t>
      </w:r>
      <w:r w:rsidR="007A7BCC" w:rsidRPr="003865F3">
        <w:rPr>
          <w:lang w:val="fr-FR"/>
        </w:rPr>
        <w:t>de pilotage et le comité technique de la</w:t>
      </w:r>
      <w:r w:rsidRPr="003865F3">
        <w:rPr>
          <w:lang w:val="fr-FR"/>
        </w:rPr>
        <w:t xml:space="preserve"> MICS.</w:t>
      </w:r>
    </w:p>
    <w:p w14:paraId="6E69CC24" w14:textId="4698FE33" w:rsidR="007A7BCC" w:rsidRPr="003865F3" w:rsidRDefault="007A7BCC" w:rsidP="00E4196E">
      <w:pPr>
        <w:rPr>
          <w:color w:val="FF0000"/>
          <w:lang w:val="fr-FR"/>
        </w:rPr>
      </w:pPr>
      <w:r w:rsidRPr="003865F3">
        <w:rPr>
          <w:color w:val="FF0000"/>
          <w:lang w:val="fr-FR"/>
        </w:rPr>
        <w:t xml:space="preserve">Le point focal pour l'éthique au sein du comité de pilotage doit préparer ce document en collaboration avec les autres membres du comité. Le document doit être finalisé avant le pré-test des questionnaires et doit décrire les rôles et les responsabilités de l'équipe de coordination de l'enquête, du comité </w:t>
      </w:r>
      <w:r w:rsidR="005F269E">
        <w:rPr>
          <w:color w:val="FF0000"/>
          <w:lang w:val="fr-FR"/>
        </w:rPr>
        <w:t xml:space="preserve">de pilotage </w:t>
      </w:r>
      <w:r w:rsidRPr="003865F3">
        <w:rPr>
          <w:color w:val="FF0000"/>
          <w:lang w:val="fr-FR"/>
        </w:rPr>
        <w:t>et du comité technique dans le traitement des questions éthiques qui se p</w:t>
      </w:r>
      <w:r w:rsidR="00B4398E" w:rsidRPr="003865F3">
        <w:rPr>
          <w:color w:val="FF0000"/>
          <w:lang w:val="fr-FR"/>
        </w:rPr>
        <w:t xml:space="preserve">résentent </w:t>
      </w:r>
      <w:r w:rsidRPr="003865F3">
        <w:rPr>
          <w:color w:val="FF0000"/>
          <w:lang w:val="fr-FR"/>
        </w:rPr>
        <w:t>au cours du processus de conception de l'enquête et de la collecte des données.</w:t>
      </w:r>
    </w:p>
    <w:p w14:paraId="3728B9DC" w14:textId="77777777" w:rsidR="00B4398E" w:rsidRPr="003865F3" w:rsidRDefault="00B4398E" w:rsidP="00E4196E">
      <w:pPr>
        <w:rPr>
          <w:color w:val="FF0000"/>
          <w:lang w:val="fr-FR"/>
        </w:rPr>
      </w:pPr>
      <w:r w:rsidRPr="003865F3">
        <w:rPr>
          <w:color w:val="FF0000"/>
          <w:lang w:val="fr-FR"/>
        </w:rPr>
        <w:t>Veuillez compléter les sections ci-dessous en suivant les instructions et les exemples fournis en rouge à titre indicatif. Veuillez personnaliser ces exemples en y ajoutant des exemples spécifiques au contexte qui s'appliquent à votre enquête et à votre pays. Par exemple, il peut y avoir des risques spécifiques aux catastrophes naturelles, aux situations humanitaires ou post-conflit. Ou encore, les points focaux peuvent être différents des exemples fournis.</w:t>
      </w:r>
    </w:p>
    <w:p w14:paraId="7D9EAD9E" w14:textId="64187D79" w:rsidR="004F39E8" w:rsidRPr="003865F3" w:rsidRDefault="004F39E8" w:rsidP="00E4196E">
      <w:pPr>
        <w:rPr>
          <w:color w:val="FF0000"/>
          <w:lang w:val="fr-FR"/>
        </w:rPr>
      </w:pPr>
      <w:r w:rsidRPr="003865F3">
        <w:rPr>
          <w:color w:val="FF0000"/>
          <w:lang w:val="fr-FR"/>
        </w:rPr>
        <w:t xml:space="preserve">Veuillez noter que les modules sur la santé mentale et les violences faites aux femmes nécessitent des procédures éthiques spéciales, y compris l'orientation </w:t>
      </w:r>
      <w:r w:rsidR="009C683F">
        <w:rPr>
          <w:color w:val="FF0000"/>
          <w:lang w:val="fr-FR"/>
        </w:rPr>
        <w:t xml:space="preserve">pour les </w:t>
      </w:r>
      <w:r w:rsidRPr="003865F3">
        <w:rPr>
          <w:color w:val="FF0000"/>
          <w:lang w:val="fr-FR"/>
        </w:rPr>
        <w:t>urgence</w:t>
      </w:r>
      <w:r w:rsidR="009C683F">
        <w:rPr>
          <w:color w:val="FF0000"/>
          <w:lang w:val="fr-FR"/>
        </w:rPr>
        <w:t>s</w:t>
      </w:r>
      <w:r w:rsidRPr="003865F3">
        <w:rPr>
          <w:color w:val="FF0000"/>
          <w:lang w:val="fr-FR"/>
        </w:rPr>
        <w:t xml:space="preserve"> à haut risque vers des services psychosociaux et autres. Si la MICS inclut l'un de ces modules, </w:t>
      </w:r>
      <w:proofErr w:type="spellStart"/>
      <w:r w:rsidRPr="003865F3">
        <w:rPr>
          <w:color w:val="FF0000"/>
          <w:lang w:val="fr-FR"/>
        </w:rPr>
        <w:t>veuillez vous</w:t>
      </w:r>
      <w:proofErr w:type="spellEnd"/>
      <w:r w:rsidRPr="003865F3">
        <w:rPr>
          <w:color w:val="FF0000"/>
          <w:lang w:val="fr-FR"/>
        </w:rPr>
        <w:t xml:space="preserve"> référer </w:t>
      </w:r>
      <w:r w:rsidR="008B34DB" w:rsidRPr="003865F3">
        <w:rPr>
          <w:color w:val="FF0000"/>
          <w:lang w:val="fr-FR"/>
        </w:rPr>
        <w:t>aux</w:t>
      </w:r>
      <w:r w:rsidRPr="003865F3">
        <w:rPr>
          <w:color w:val="FF0000"/>
          <w:lang w:val="fr-FR"/>
        </w:rPr>
        <w:t xml:space="preserve"> </w:t>
      </w:r>
      <w:r w:rsidR="000967CB" w:rsidRPr="003865F3">
        <w:rPr>
          <w:color w:val="FF0000"/>
          <w:lang w:val="fr-FR"/>
        </w:rPr>
        <w:t>dossier</w:t>
      </w:r>
      <w:r w:rsidRPr="003865F3">
        <w:rPr>
          <w:color w:val="FF0000"/>
          <w:lang w:val="fr-FR"/>
        </w:rPr>
        <w:t xml:space="preserve">s complémentaires respectifs pour des conseils éthiques spécifiques. </w:t>
      </w:r>
      <w:r w:rsidR="008B34DB" w:rsidRPr="003865F3">
        <w:rPr>
          <w:color w:val="FF0000"/>
          <w:lang w:val="fr-FR"/>
        </w:rPr>
        <w:t>L’élaboration</w:t>
      </w:r>
      <w:r w:rsidRPr="003865F3">
        <w:rPr>
          <w:color w:val="FF0000"/>
          <w:lang w:val="fr-FR"/>
        </w:rPr>
        <w:t xml:space="preserve"> d'un système incluant l'orientation </w:t>
      </w:r>
      <w:r w:rsidR="009C683F">
        <w:rPr>
          <w:color w:val="FF0000"/>
          <w:lang w:val="fr-FR"/>
        </w:rPr>
        <w:t xml:space="preserve">pour les </w:t>
      </w:r>
      <w:r w:rsidRPr="003865F3">
        <w:rPr>
          <w:color w:val="FF0000"/>
          <w:lang w:val="fr-FR"/>
        </w:rPr>
        <w:t>urgence</w:t>
      </w:r>
      <w:r w:rsidR="009C683F">
        <w:rPr>
          <w:color w:val="FF0000"/>
          <w:lang w:val="fr-FR"/>
        </w:rPr>
        <w:t>s</w:t>
      </w:r>
      <w:r w:rsidRPr="003865F3">
        <w:rPr>
          <w:color w:val="FF0000"/>
          <w:lang w:val="fr-FR"/>
        </w:rPr>
        <w:t xml:space="preserve"> à haut risque nécessite souvent </w:t>
      </w:r>
      <w:r w:rsidR="008B34DB" w:rsidRPr="003865F3">
        <w:rPr>
          <w:color w:val="FF0000"/>
          <w:lang w:val="fr-FR"/>
        </w:rPr>
        <w:t>un</w:t>
      </w:r>
      <w:r w:rsidRPr="003865F3">
        <w:rPr>
          <w:color w:val="FF0000"/>
          <w:lang w:val="fr-FR"/>
        </w:rPr>
        <w:t xml:space="preserve"> temps </w:t>
      </w:r>
      <w:r w:rsidR="008B34DB" w:rsidRPr="003865F3">
        <w:rPr>
          <w:color w:val="FF0000"/>
          <w:lang w:val="fr-FR"/>
        </w:rPr>
        <w:t xml:space="preserve">considérable </w:t>
      </w:r>
      <w:r w:rsidRPr="003865F3">
        <w:rPr>
          <w:color w:val="FF0000"/>
          <w:lang w:val="fr-FR"/>
        </w:rPr>
        <w:t xml:space="preserve">pour </w:t>
      </w:r>
      <w:r w:rsidR="008B34DB" w:rsidRPr="003865F3">
        <w:rPr>
          <w:color w:val="FF0000"/>
          <w:lang w:val="fr-FR"/>
        </w:rPr>
        <w:t xml:space="preserve">répertorier </w:t>
      </w:r>
      <w:r w:rsidRPr="003865F3">
        <w:rPr>
          <w:color w:val="FF0000"/>
          <w:lang w:val="fr-FR"/>
        </w:rPr>
        <w:t xml:space="preserve">les services existants, s'engager avec les parties prenantes concernées, </w:t>
      </w:r>
      <w:r w:rsidR="008B34DB" w:rsidRPr="003865F3">
        <w:rPr>
          <w:color w:val="FF0000"/>
          <w:lang w:val="fr-FR"/>
        </w:rPr>
        <w:t xml:space="preserve">trouver un </w:t>
      </w:r>
      <w:r w:rsidRPr="003865F3">
        <w:rPr>
          <w:color w:val="FF0000"/>
          <w:lang w:val="fr-FR"/>
        </w:rPr>
        <w:t>accord sur la logistique et la planifier.</w:t>
      </w:r>
      <w:r w:rsidR="008B34DB" w:rsidRPr="003865F3">
        <w:rPr>
          <w:color w:val="FF0000"/>
          <w:lang w:val="fr-FR"/>
        </w:rPr>
        <w:t xml:space="preserve"> Cela peut également nécessiter l</w:t>
      </w:r>
      <w:r w:rsidR="004D59DB">
        <w:rPr>
          <w:color w:val="FF0000"/>
          <w:lang w:val="fr-FR"/>
        </w:rPr>
        <w:t>’élaboration</w:t>
      </w:r>
      <w:r w:rsidR="008B34DB" w:rsidRPr="003865F3">
        <w:rPr>
          <w:color w:val="FF0000"/>
          <w:lang w:val="fr-FR"/>
        </w:rPr>
        <w:t xml:space="preserve"> d’un budget. </w:t>
      </w:r>
      <w:proofErr w:type="spellStart"/>
      <w:r w:rsidR="008B34DB" w:rsidRPr="003865F3">
        <w:rPr>
          <w:color w:val="FF0000"/>
          <w:lang w:val="fr-FR"/>
        </w:rPr>
        <w:t>Veuillez vous</w:t>
      </w:r>
      <w:proofErr w:type="spellEnd"/>
      <w:r w:rsidR="008B34DB" w:rsidRPr="003865F3">
        <w:rPr>
          <w:color w:val="FF0000"/>
          <w:lang w:val="fr-FR"/>
        </w:rPr>
        <w:t xml:space="preserve"> assurer de commencer les préparatifs pour les systèmes d'orientation dès que possible au début du processus de conception de l'enquête, en suivant les conseils fournis dans les dossiers complémentaires pour ces modules. Une fois que le système d'orientation est conçu, veuillez décrire en détail dans ce document les mesures spécifiques qui seront adoptées.</w:t>
      </w:r>
    </w:p>
    <w:p w14:paraId="5DC68DF6" w14:textId="2BCCD91B" w:rsidR="00414398" w:rsidRPr="003865F3" w:rsidRDefault="00A81223" w:rsidP="002A27A3">
      <w:pPr>
        <w:pStyle w:val="Heading1"/>
        <w:rPr>
          <w:lang w:val="fr-FR"/>
        </w:rPr>
      </w:pPr>
      <w:r w:rsidRPr="003865F3">
        <w:rPr>
          <w:lang w:val="fr-FR"/>
        </w:rPr>
        <w:t>protocol</w:t>
      </w:r>
      <w:r w:rsidR="008B34DB" w:rsidRPr="003865F3">
        <w:rPr>
          <w:lang w:val="fr-FR"/>
        </w:rPr>
        <w:t xml:space="preserve">e de protection </w:t>
      </w:r>
      <w:r w:rsidR="008F0AF3" w:rsidRPr="003865F3">
        <w:rPr>
          <w:lang w:val="fr-FR"/>
        </w:rPr>
        <w:t xml:space="preserve">: </w:t>
      </w:r>
      <w:r w:rsidR="008B34DB" w:rsidRPr="003865F3">
        <w:rPr>
          <w:lang w:val="fr-FR"/>
        </w:rPr>
        <w:t>CONSIDÉRATIONS ÉTHIQUES, RISQUES, STRATÉGIES D'ATTÉNUATION</w:t>
      </w:r>
    </w:p>
    <w:p w14:paraId="2D006883" w14:textId="77777777" w:rsidR="00E07E24" w:rsidRPr="003865F3" w:rsidRDefault="00E07E24" w:rsidP="00E07E24">
      <w:pPr>
        <w:rPr>
          <w:lang w:val="fr-FR"/>
        </w:rPr>
      </w:pPr>
    </w:p>
    <w:p w14:paraId="514CEC46" w14:textId="77DC94C9" w:rsidR="00AD4865" w:rsidRPr="003865F3" w:rsidRDefault="00A81223" w:rsidP="00A81223">
      <w:pPr>
        <w:pStyle w:val="Heading2"/>
        <w:numPr>
          <w:ilvl w:val="0"/>
          <w:numId w:val="8"/>
        </w:numPr>
        <w:rPr>
          <w:lang w:val="fr-FR"/>
        </w:rPr>
      </w:pPr>
      <w:bookmarkStart w:id="1" w:name="_Toc115094865"/>
      <w:bookmarkStart w:id="2" w:name="_Toc115100842"/>
      <w:r w:rsidRPr="003865F3">
        <w:rPr>
          <w:lang w:val="fr-FR"/>
        </w:rPr>
        <w:t>ris</w:t>
      </w:r>
      <w:r w:rsidR="008B34DB" w:rsidRPr="003865F3">
        <w:rPr>
          <w:lang w:val="fr-FR"/>
        </w:rPr>
        <w:t xml:space="preserve">ques pour les </w:t>
      </w:r>
      <w:r w:rsidRPr="003865F3">
        <w:rPr>
          <w:lang w:val="fr-FR"/>
        </w:rPr>
        <w:t>participants</w:t>
      </w:r>
      <w:bookmarkEnd w:id="1"/>
      <w:bookmarkEnd w:id="2"/>
    </w:p>
    <w:p w14:paraId="263CC817" w14:textId="389C6940" w:rsidR="008B34DB" w:rsidRPr="003865F3" w:rsidRDefault="008B34DB" w:rsidP="00414398">
      <w:pPr>
        <w:rPr>
          <w:lang w:val="fr-FR"/>
        </w:rPr>
      </w:pPr>
      <w:r w:rsidRPr="003865F3">
        <w:rPr>
          <w:lang w:val="fr-FR"/>
        </w:rPr>
        <w:t>Cette section identifie les risques potentiels pour les participants et formule des plans de gestion des risques ou des stratégies d'atténuation appropriés. Les risques potentiels pour les participants peuvent être d'ordre psychologique, physique, social, juridique et économique. Des considérations particulières liées à des sujets très sensibles (</w:t>
      </w:r>
      <w:r w:rsidRPr="003865F3">
        <w:rPr>
          <w:color w:val="FF0000"/>
          <w:lang w:val="fr-FR"/>
        </w:rPr>
        <w:t>par exemple, la santé mentale, les violences faites aux femmes</w:t>
      </w:r>
      <w:r w:rsidRPr="003865F3">
        <w:rPr>
          <w:lang w:val="fr-FR"/>
        </w:rPr>
        <w:t xml:space="preserve">) et à des interactions directes </w:t>
      </w:r>
      <w:r w:rsidRPr="003865F3">
        <w:rPr>
          <w:lang w:val="fr-FR"/>
        </w:rPr>
        <w:lastRenderedPageBreak/>
        <w:t>avec les jeunes enfants et les adolescents (</w:t>
      </w:r>
      <w:r w:rsidRPr="003865F3">
        <w:rPr>
          <w:color w:val="FF0000"/>
          <w:lang w:val="fr-FR"/>
        </w:rPr>
        <w:t>par exemple, l'apprentissage en début de scolarité</w:t>
      </w:r>
      <w:r w:rsidRPr="003865F3">
        <w:rPr>
          <w:lang w:val="fr-FR"/>
        </w:rPr>
        <w:t>) sont également abordées dans cette section.</w:t>
      </w:r>
    </w:p>
    <w:p w14:paraId="41BCBAFC" w14:textId="1E6CFD66" w:rsidR="00A81223" w:rsidRPr="003865F3" w:rsidRDefault="00A81223" w:rsidP="00414398">
      <w:pPr>
        <w:rPr>
          <w:lang w:val="fr-FR"/>
        </w:rPr>
      </w:pPr>
    </w:p>
    <w:tbl>
      <w:tblPr>
        <w:tblStyle w:val="TableGrid"/>
        <w:tblW w:w="9445" w:type="dxa"/>
        <w:tblInd w:w="0" w:type="dxa"/>
        <w:tblLook w:val="04A0" w:firstRow="1" w:lastRow="0" w:firstColumn="1" w:lastColumn="0" w:noHBand="0" w:noVBand="1"/>
      </w:tblPr>
      <w:tblGrid>
        <w:gridCol w:w="2245"/>
        <w:gridCol w:w="5760"/>
        <w:gridCol w:w="1440"/>
      </w:tblGrid>
      <w:tr w:rsidR="001D36B1" w:rsidRPr="003865F3" w14:paraId="6B3D9BAB" w14:textId="77777777" w:rsidTr="00AB4924">
        <w:tc>
          <w:tcPr>
            <w:tcW w:w="2245" w:type="dxa"/>
            <w:shd w:val="clear" w:color="auto" w:fill="D9E2F3" w:themeFill="accent1" w:themeFillTint="33"/>
          </w:tcPr>
          <w:p w14:paraId="6A4020EF" w14:textId="3B58C3F8" w:rsidR="00A81223" w:rsidRPr="003865F3" w:rsidRDefault="00A81223" w:rsidP="00E07E24">
            <w:pPr>
              <w:keepNext/>
              <w:keepLines/>
              <w:rPr>
                <w:lang w:val="fr-FR"/>
              </w:rPr>
            </w:pPr>
            <w:r w:rsidRPr="003865F3">
              <w:rPr>
                <w:lang w:val="fr-FR"/>
              </w:rPr>
              <w:t>R</w:t>
            </w:r>
            <w:r w:rsidR="008B34DB" w:rsidRPr="003865F3">
              <w:rPr>
                <w:lang w:val="fr-FR"/>
              </w:rPr>
              <w:t>isque</w:t>
            </w:r>
            <w:r w:rsidR="00F67230" w:rsidRPr="003865F3">
              <w:rPr>
                <w:lang w:val="fr-FR"/>
              </w:rPr>
              <w:t xml:space="preserve">s </w:t>
            </w:r>
          </w:p>
        </w:tc>
        <w:tc>
          <w:tcPr>
            <w:tcW w:w="5760" w:type="dxa"/>
            <w:shd w:val="clear" w:color="auto" w:fill="D9E2F3" w:themeFill="accent1" w:themeFillTint="33"/>
          </w:tcPr>
          <w:p w14:paraId="393C5CF2" w14:textId="09FD538D" w:rsidR="00A81223" w:rsidRPr="003865F3" w:rsidRDefault="00F67230" w:rsidP="00E07E24">
            <w:pPr>
              <w:keepNext/>
              <w:keepLines/>
              <w:rPr>
                <w:lang w:val="fr-FR"/>
              </w:rPr>
            </w:pPr>
            <w:r w:rsidRPr="003865F3">
              <w:rPr>
                <w:lang w:val="fr-FR"/>
              </w:rPr>
              <w:t>Strat</w:t>
            </w:r>
            <w:r w:rsidR="008B34DB" w:rsidRPr="003865F3">
              <w:rPr>
                <w:lang w:val="fr-FR"/>
              </w:rPr>
              <w:t>égies de gestion des risques</w:t>
            </w:r>
          </w:p>
        </w:tc>
        <w:tc>
          <w:tcPr>
            <w:tcW w:w="1440" w:type="dxa"/>
            <w:shd w:val="clear" w:color="auto" w:fill="D9E2F3" w:themeFill="accent1" w:themeFillTint="33"/>
          </w:tcPr>
          <w:p w14:paraId="5BC68DDF" w14:textId="02A2E352" w:rsidR="00A81223" w:rsidRPr="003865F3" w:rsidRDefault="008B34DB" w:rsidP="00E07E24">
            <w:pPr>
              <w:keepNext/>
              <w:keepLines/>
              <w:rPr>
                <w:lang w:val="fr-FR"/>
              </w:rPr>
            </w:pPr>
            <w:r w:rsidRPr="003865F3">
              <w:rPr>
                <w:lang w:val="fr-FR"/>
              </w:rPr>
              <w:t>P</w:t>
            </w:r>
            <w:r w:rsidR="0056237C" w:rsidRPr="003865F3">
              <w:rPr>
                <w:lang w:val="fr-FR"/>
              </w:rPr>
              <w:t>oint</w:t>
            </w:r>
            <w:r w:rsidRPr="003865F3">
              <w:rPr>
                <w:lang w:val="fr-FR"/>
              </w:rPr>
              <w:t xml:space="preserve"> focal</w:t>
            </w:r>
          </w:p>
        </w:tc>
      </w:tr>
      <w:tr w:rsidR="007D1359" w:rsidRPr="00D84932" w14:paraId="673B6B15" w14:textId="77777777" w:rsidTr="00AB4924">
        <w:trPr>
          <w:trHeight w:val="2600"/>
        </w:trPr>
        <w:tc>
          <w:tcPr>
            <w:tcW w:w="2245" w:type="dxa"/>
          </w:tcPr>
          <w:p w14:paraId="4FFA6866" w14:textId="4AA87C1C" w:rsidR="007D1359" w:rsidRPr="003865F3" w:rsidRDefault="008B34DB" w:rsidP="00E07E24">
            <w:pPr>
              <w:keepNext/>
              <w:keepLines/>
              <w:rPr>
                <w:color w:val="FF0000"/>
                <w:lang w:val="fr-FR"/>
              </w:rPr>
            </w:pPr>
            <w:r w:rsidRPr="003865F3">
              <w:rPr>
                <w:color w:val="FF0000"/>
                <w:lang w:val="fr-FR"/>
              </w:rPr>
              <w:t>L'enquêteur met le répondant mal à l'aise ou en difficulté</w:t>
            </w:r>
          </w:p>
        </w:tc>
        <w:tc>
          <w:tcPr>
            <w:tcW w:w="5760" w:type="dxa"/>
          </w:tcPr>
          <w:p w14:paraId="6C485AF9" w14:textId="77777777" w:rsidR="00056D61" w:rsidRPr="003865F3" w:rsidRDefault="00056D61" w:rsidP="00E07E24">
            <w:pPr>
              <w:pStyle w:val="ListParagraph"/>
              <w:keepNext/>
              <w:keepLines/>
              <w:numPr>
                <w:ilvl w:val="0"/>
                <w:numId w:val="6"/>
              </w:numPr>
              <w:ind w:left="270" w:hanging="270"/>
              <w:rPr>
                <w:color w:val="FF0000"/>
                <w:lang w:val="fr-FR"/>
              </w:rPr>
            </w:pPr>
            <w:r w:rsidRPr="003865F3">
              <w:rPr>
                <w:color w:val="FF0000"/>
                <w:lang w:val="fr-FR"/>
              </w:rPr>
              <w:t>Le module d'éthique est intégré à la formation et/ou le code de conduite de l'équipe de terrain est clairement mentionné dans la formation.</w:t>
            </w:r>
          </w:p>
          <w:p w14:paraId="40860CB3" w14:textId="6935D970" w:rsidR="00056D61" w:rsidRPr="003865F3" w:rsidRDefault="00056D61" w:rsidP="00E07E24">
            <w:pPr>
              <w:pStyle w:val="ListParagraph"/>
              <w:keepNext/>
              <w:keepLines/>
              <w:numPr>
                <w:ilvl w:val="0"/>
                <w:numId w:val="6"/>
              </w:numPr>
              <w:ind w:left="270" w:hanging="270"/>
              <w:rPr>
                <w:color w:val="FF0000"/>
                <w:lang w:val="fr-FR"/>
              </w:rPr>
            </w:pPr>
            <w:r w:rsidRPr="003865F3">
              <w:rPr>
                <w:color w:val="FF0000"/>
                <w:lang w:val="fr-FR"/>
              </w:rPr>
              <w:t>Les enquêteurs (dans la mesure du possible) ne portent pas de vêtement qui indique une appartenance à un parti politique ou religieux.</w:t>
            </w:r>
          </w:p>
          <w:p w14:paraId="6DB90A44" w14:textId="12955E3E" w:rsidR="00056D61" w:rsidRPr="003865F3" w:rsidRDefault="00056D61" w:rsidP="00E07E24">
            <w:pPr>
              <w:pStyle w:val="ListParagraph"/>
              <w:keepNext/>
              <w:keepLines/>
              <w:numPr>
                <w:ilvl w:val="0"/>
                <w:numId w:val="6"/>
              </w:numPr>
              <w:ind w:left="270" w:hanging="270"/>
              <w:rPr>
                <w:color w:val="FF0000"/>
                <w:lang w:val="fr-FR"/>
              </w:rPr>
            </w:pPr>
            <w:r w:rsidRPr="003865F3">
              <w:rPr>
                <w:color w:val="FF0000"/>
                <w:lang w:val="fr-FR"/>
              </w:rPr>
              <w:t>Les enquêteurs sont formés pour répondre à la souffrance ou aux difficultés.</w:t>
            </w:r>
          </w:p>
          <w:p w14:paraId="60031866" w14:textId="4226B853" w:rsidR="00056D61" w:rsidRPr="003865F3" w:rsidRDefault="00056D61" w:rsidP="00E07E24">
            <w:pPr>
              <w:pStyle w:val="ListParagraph"/>
              <w:keepNext/>
              <w:keepLines/>
              <w:numPr>
                <w:ilvl w:val="0"/>
                <w:numId w:val="6"/>
              </w:numPr>
              <w:ind w:left="270" w:hanging="270"/>
              <w:rPr>
                <w:color w:val="FF0000"/>
                <w:lang w:val="fr-FR"/>
              </w:rPr>
            </w:pPr>
            <w:r w:rsidRPr="003865F3">
              <w:rPr>
                <w:color w:val="FF0000"/>
                <w:lang w:val="fr-FR"/>
              </w:rPr>
              <w:t>Les enquêteurs sont formés et sensibilisés à leurs responsabilités afin de garantir la confidentialité des données.</w:t>
            </w:r>
          </w:p>
          <w:p w14:paraId="5483EE0A" w14:textId="37F092DB" w:rsidR="007D1359" w:rsidRPr="003865F3" w:rsidRDefault="00056D61" w:rsidP="00056D61">
            <w:pPr>
              <w:pStyle w:val="ListParagraph"/>
              <w:keepNext/>
              <w:keepLines/>
              <w:numPr>
                <w:ilvl w:val="0"/>
                <w:numId w:val="6"/>
              </w:numPr>
              <w:ind w:left="270" w:hanging="270"/>
              <w:rPr>
                <w:color w:val="FF0000"/>
                <w:lang w:val="fr-FR"/>
              </w:rPr>
            </w:pPr>
            <w:r w:rsidRPr="003865F3">
              <w:rPr>
                <w:color w:val="FF0000"/>
                <w:lang w:val="fr-FR"/>
              </w:rPr>
              <w:t>Les enquêteurs sont formés et acceptent de ne pas donner d'avis ou d'expériences personnelles sur les questions sensibles ou celles évoquées dans le questionnaire</w:t>
            </w:r>
          </w:p>
        </w:tc>
        <w:tc>
          <w:tcPr>
            <w:tcW w:w="1440" w:type="dxa"/>
          </w:tcPr>
          <w:p w14:paraId="644FDF6E" w14:textId="0F781716" w:rsidR="007D1359" w:rsidRPr="003865F3" w:rsidRDefault="00056D61" w:rsidP="00E07E24">
            <w:pPr>
              <w:keepNext/>
              <w:keepLines/>
              <w:rPr>
                <w:color w:val="FF0000"/>
                <w:lang w:val="fr-FR"/>
              </w:rPr>
            </w:pPr>
            <w:r w:rsidRPr="003865F3">
              <w:rPr>
                <w:color w:val="FF0000"/>
                <w:lang w:val="fr-FR"/>
              </w:rPr>
              <w:t>Coordinateur national MICS/Facilitateurs de formation</w:t>
            </w:r>
          </w:p>
        </w:tc>
      </w:tr>
      <w:tr w:rsidR="007D1359" w:rsidRPr="003865F3" w14:paraId="1FCF6328" w14:textId="77777777" w:rsidTr="00AB4924">
        <w:trPr>
          <w:trHeight w:val="1296"/>
        </w:trPr>
        <w:tc>
          <w:tcPr>
            <w:tcW w:w="2245" w:type="dxa"/>
          </w:tcPr>
          <w:p w14:paraId="794FD820" w14:textId="4EC1B16C" w:rsidR="007D1359" w:rsidRPr="003865F3" w:rsidRDefault="00056D61" w:rsidP="007D1359">
            <w:pPr>
              <w:rPr>
                <w:color w:val="FF0000"/>
                <w:lang w:val="fr-FR"/>
              </w:rPr>
            </w:pPr>
            <w:r w:rsidRPr="003865F3">
              <w:rPr>
                <w:color w:val="FF0000"/>
                <w:lang w:val="fr-FR"/>
              </w:rPr>
              <w:t>Présence</w:t>
            </w:r>
            <w:r w:rsidR="008B34DB" w:rsidRPr="003865F3">
              <w:rPr>
                <w:color w:val="FF0000"/>
                <w:lang w:val="fr-FR"/>
              </w:rPr>
              <w:t xml:space="preserve"> de problèmes de santé ou de santé mentale évidents et aigus chez le répondant ou un membre du ménage</w:t>
            </w:r>
          </w:p>
        </w:tc>
        <w:tc>
          <w:tcPr>
            <w:tcW w:w="5760" w:type="dxa"/>
          </w:tcPr>
          <w:p w14:paraId="5B7041D3" w14:textId="46822BE1" w:rsidR="008D6320" w:rsidRPr="003865F3" w:rsidRDefault="008D6320" w:rsidP="008417AD">
            <w:pPr>
              <w:pStyle w:val="ListParagraph"/>
              <w:numPr>
                <w:ilvl w:val="0"/>
                <w:numId w:val="10"/>
              </w:numPr>
              <w:rPr>
                <w:color w:val="FF0000"/>
                <w:lang w:val="fr-FR"/>
              </w:rPr>
            </w:pPr>
            <w:r w:rsidRPr="003865F3">
              <w:rPr>
                <w:color w:val="FF0000"/>
                <w:lang w:val="fr-FR"/>
              </w:rPr>
              <w:t>Fourniture d'une liste de centres de santé/prestataires de services de santé mentale/services de soutien psychosocial.</w:t>
            </w:r>
          </w:p>
          <w:p w14:paraId="07232A81" w14:textId="137026ED" w:rsidR="008417AD" w:rsidRPr="003865F3" w:rsidRDefault="007647C5" w:rsidP="008D6320">
            <w:pPr>
              <w:pStyle w:val="ListParagraph"/>
              <w:numPr>
                <w:ilvl w:val="0"/>
                <w:numId w:val="10"/>
              </w:numPr>
              <w:rPr>
                <w:color w:val="FF0000"/>
                <w:lang w:val="fr-FR"/>
              </w:rPr>
            </w:pPr>
            <w:r w:rsidRPr="003865F3">
              <w:rPr>
                <w:color w:val="FF0000"/>
                <w:lang w:val="fr-FR"/>
              </w:rPr>
              <w:t>(</w:t>
            </w:r>
            <w:r w:rsidR="008D6320" w:rsidRPr="003865F3">
              <w:rPr>
                <w:color w:val="FF0000"/>
                <w:lang w:val="fr-FR"/>
              </w:rPr>
              <w:t>Si l'enquête porte sur la santé mentale ou les violences faites aux femmes) : Un processus d'orientation clair est en place, y compris un processus permettant de déterminer si - ou quand - il convient d'orienter la personne interrogée vers des services de soutien.</w:t>
            </w:r>
          </w:p>
        </w:tc>
        <w:tc>
          <w:tcPr>
            <w:tcW w:w="1440" w:type="dxa"/>
          </w:tcPr>
          <w:p w14:paraId="6B225979" w14:textId="50FC9183" w:rsidR="007D1359" w:rsidRPr="003865F3" w:rsidRDefault="00416194" w:rsidP="007D1359">
            <w:pPr>
              <w:rPr>
                <w:color w:val="FF0000"/>
                <w:lang w:val="fr-FR"/>
              </w:rPr>
            </w:pPr>
            <w:r w:rsidRPr="003865F3">
              <w:rPr>
                <w:color w:val="FF0000"/>
                <w:lang w:val="fr-FR"/>
              </w:rPr>
              <w:t xml:space="preserve">Coordinateur national MICS </w:t>
            </w:r>
            <w:r w:rsidR="00CC08EB" w:rsidRPr="003865F3">
              <w:rPr>
                <w:color w:val="FF0000"/>
                <w:lang w:val="fr-FR"/>
              </w:rPr>
              <w:t>/</w:t>
            </w:r>
            <w:r w:rsidRPr="003865F3">
              <w:rPr>
                <w:color w:val="FF0000"/>
                <w:lang w:val="fr-FR"/>
              </w:rPr>
              <w:t>Enquêteurs</w:t>
            </w:r>
          </w:p>
        </w:tc>
      </w:tr>
      <w:tr w:rsidR="009318AD" w:rsidRPr="003865F3" w14:paraId="48014CB5" w14:textId="77777777" w:rsidTr="00DE626E">
        <w:trPr>
          <w:trHeight w:val="4320"/>
        </w:trPr>
        <w:tc>
          <w:tcPr>
            <w:tcW w:w="2245" w:type="dxa"/>
          </w:tcPr>
          <w:p w14:paraId="620FF53D" w14:textId="234A7E8B" w:rsidR="009318AD" w:rsidRPr="003865F3" w:rsidRDefault="00056D61" w:rsidP="00DE626E">
            <w:pPr>
              <w:rPr>
                <w:lang w:val="fr-FR"/>
              </w:rPr>
            </w:pPr>
            <w:r w:rsidRPr="003865F3">
              <w:rPr>
                <w:color w:val="FF0000"/>
                <w:lang w:val="fr-FR"/>
              </w:rPr>
              <w:t>L'enfant ou le parent déclare que l'un ou l'autre subit des violences domestiques ou que l'enfant est maltraité.</w:t>
            </w:r>
          </w:p>
          <w:p w14:paraId="19400BBD" w14:textId="77777777" w:rsidR="009318AD" w:rsidRPr="003865F3" w:rsidRDefault="009318AD" w:rsidP="00DE626E">
            <w:pPr>
              <w:rPr>
                <w:lang w:val="fr-FR"/>
              </w:rPr>
            </w:pPr>
          </w:p>
          <w:p w14:paraId="490F1EB0" w14:textId="77777777" w:rsidR="009318AD" w:rsidRPr="003865F3" w:rsidRDefault="009318AD" w:rsidP="00DE626E">
            <w:pPr>
              <w:rPr>
                <w:lang w:val="fr-FR"/>
              </w:rPr>
            </w:pPr>
          </w:p>
        </w:tc>
        <w:tc>
          <w:tcPr>
            <w:tcW w:w="5760" w:type="dxa"/>
          </w:tcPr>
          <w:p w14:paraId="00D614CA" w14:textId="77777777" w:rsidR="00844A29" w:rsidRPr="003865F3" w:rsidRDefault="00844A29" w:rsidP="00DE626E">
            <w:pPr>
              <w:pStyle w:val="ListParagraph"/>
              <w:numPr>
                <w:ilvl w:val="0"/>
                <w:numId w:val="6"/>
              </w:numPr>
              <w:ind w:left="270" w:hanging="270"/>
              <w:rPr>
                <w:color w:val="FF0000"/>
                <w:lang w:val="fr-FR"/>
              </w:rPr>
            </w:pPr>
            <w:r w:rsidRPr="003865F3">
              <w:rPr>
                <w:color w:val="FF0000"/>
                <w:lang w:val="fr-FR"/>
              </w:rPr>
              <w:t>Se référer à la législation nationale relative au signalement des abus (insérer la législation pertinente ici) qui stipule (...).</w:t>
            </w:r>
          </w:p>
          <w:p w14:paraId="68B65ED3" w14:textId="0100E8F0" w:rsidR="00024F13" w:rsidRPr="003865F3" w:rsidRDefault="00024F13" w:rsidP="00DE626E">
            <w:pPr>
              <w:pStyle w:val="ListParagraph"/>
              <w:numPr>
                <w:ilvl w:val="0"/>
                <w:numId w:val="6"/>
              </w:numPr>
              <w:ind w:left="270" w:hanging="270"/>
              <w:rPr>
                <w:color w:val="FF0000"/>
                <w:lang w:val="fr-FR"/>
              </w:rPr>
            </w:pPr>
            <w:r w:rsidRPr="003865F3">
              <w:rPr>
                <w:color w:val="FF0000"/>
                <w:lang w:val="fr-FR"/>
              </w:rPr>
              <w:t>(Si la législation exige le signalement obligatoire des abus) : Le consentement éclairé indiquera que, compte tenu de la législation, si des abus sont révélés ou s'il existe des preuves d'abus, ils devront être signalés conformément à la législation.</w:t>
            </w:r>
          </w:p>
          <w:p w14:paraId="43FB826D" w14:textId="7272F7A7" w:rsidR="009318AD" w:rsidRPr="003865F3" w:rsidRDefault="00024F13" w:rsidP="00024F13">
            <w:pPr>
              <w:pStyle w:val="ListParagraph"/>
              <w:numPr>
                <w:ilvl w:val="0"/>
                <w:numId w:val="6"/>
              </w:numPr>
              <w:ind w:left="270" w:hanging="270"/>
              <w:rPr>
                <w:color w:val="FF0000"/>
                <w:lang w:val="fr-FR"/>
              </w:rPr>
            </w:pPr>
            <w:r w:rsidRPr="003865F3">
              <w:rPr>
                <w:color w:val="FF0000"/>
                <w:lang w:val="fr-FR"/>
              </w:rPr>
              <w:t>(S'il n'existe pas d'obligation de signalement des abus) : Aucune mesure ne sera prise à moins que le ou la répondante ne demande de l'aide, auquel cas les enquêteurs fourniront des informations sur les services d'aide/les lignes d'assistance pertinents (déterminés à l'avance et fournis aux enquêteurs sous la forme d'une liste de services d'aide sanitaire et sociale locaux ou pertinents qui sont disponibles et prêts à fournir un soutien si nécessaire).</w:t>
            </w:r>
          </w:p>
          <w:p w14:paraId="08E22AC4" w14:textId="081563DF" w:rsidR="00024F13" w:rsidRPr="003865F3" w:rsidRDefault="00024F13" w:rsidP="00DE626E">
            <w:pPr>
              <w:pStyle w:val="ListParagraph"/>
              <w:numPr>
                <w:ilvl w:val="0"/>
                <w:numId w:val="6"/>
              </w:numPr>
              <w:ind w:left="270" w:hanging="270"/>
              <w:rPr>
                <w:color w:val="FF0000"/>
                <w:lang w:val="fr-FR"/>
              </w:rPr>
            </w:pPr>
            <w:r w:rsidRPr="003865F3">
              <w:rPr>
                <w:color w:val="FF0000"/>
                <w:lang w:val="fr-FR"/>
              </w:rPr>
              <w:t>Un processus d'orientation clair sera mis en place, y compris une liste de contrôle pour décider si et quand il faut ou non orienter l'enfant/la personne vers des services d'aide.</w:t>
            </w:r>
          </w:p>
          <w:p w14:paraId="590A8981" w14:textId="6279A969" w:rsidR="009318AD" w:rsidRPr="003865F3" w:rsidRDefault="00024F13" w:rsidP="00024F13">
            <w:pPr>
              <w:pStyle w:val="ListParagraph"/>
              <w:numPr>
                <w:ilvl w:val="0"/>
                <w:numId w:val="6"/>
              </w:numPr>
              <w:ind w:left="270" w:hanging="270"/>
              <w:rPr>
                <w:color w:val="FF0000"/>
                <w:lang w:val="fr-FR"/>
              </w:rPr>
            </w:pPr>
            <w:r w:rsidRPr="003865F3">
              <w:rPr>
                <w:color w:val="FF0000"/>
                <w:lang w:val="fr-FR"/>
              </w:rPr>
              <w:t>Fourniture d'une liste de prestataires de services incluant non seulement les refuges pour les victimes de violence domestique ou les services d'aide aux femmes, mais aussi d'autres services tels que les centres médicaux et les centres communautaires.</w:t>
            </w:r>
          </w:p>
        </w:tc>
        <w:tc>
          <w:tcPr>
            <w:tcW w:w="1440" w:type="dxa"/>
          </w:tcPr>
          <w:p w14:paraId="2322BD0F" w14:textId="3F27C399" w:rsidR="009318AD" w:rsidRPr="003865F3" w:rsidRDefault="00416194" w:rsidP="00416194">
            <w:pPr>
              <w:rPr>
                <w:lang w:val="fr-FR"/>
              </w:rPr>
            </w:pPr>
            <w:r w:rsidRPr="003865F3">
              <w:rPr>
                <w:color w:val="FF0000"/>
                <w:lang w:val="fr-FR"/>
              </w:rPr>
              <w:t xml:space="preserve">Coordinateur national de l’enquête MICS </w:t>
            </w:r>
          </w:p>
          <w:p w14:paraId="06BBA080" w14:textId="77777777" w:rsidR="009318AD" w:rsidRPr="003865F3" w:rsidRDefault="009318AD" w:rsidP="00DE626E">
            <w:pPr>
              <w:pStyle w:val="ListParagraph"/>
              <w:ind w:left="340"/>
              <w:rPr>
                <w:lang w:val="fr-FR"/>
              </w:rPr>
            </w:pPr>
          </w:p>
          <w:p w14:paraId="6708FCE1" w14:textId="77777777" w:rsidR="009318AD" w:rsidRPr="003865F3" w:rsidRDefault="009318AD" w:rsidP="00DE626E">
            <w:pPr>
              <w:pStyle w:val="ListParagraph"/>
              <w:ind w:left="340"/>
              <w:rPr>
                <w:lang w:val="fr-FR"/>
              </w:rPr>
            </w:pPr>
          </w:p>
          <w:p w14:paraId="5EDA2E49" w14:textId="77777777" w:rsidR="009318AD" w:rsidRPr="003865F3" w:rsidRDefault="009318AD" w:rsidP="00DE626E">
            <w:pPr>
              <w:pStyle w:val="ListParagraph"/>
              <w:ind w:left="340"/>
              <w:rPr>
                <w:lang w:val="fr-FR"/>
              </w:rPr>
            </w:pPr>
          </w:p>
          <w:p w14:paraId="732E8B98" w14:textId="77777777" w:rsidR="009318AD" w:rsidRPr="003865F3" w:rsidRDefault="009318AD" w:rsidP="00DE626E">
            <w:pPr>
              <w:pStyle w:val="ListParagraph"/>
              <w:ind w:left="340"/>
              <w:rPr>
                <w:lang w:val="fr-FR"/>
              </w:rPr>
            </w:pPr>
          </w:p>
          <w:p w14:paraId="5BAE47B2" w14:textId="77777777" w:rsidR="009318AD" w:rsidRPr="003865F3" w:rsidRDefault="009318AD" w:rsidP="00DE626E">
            <w:pPr>
              <w:rPr>
                <w:lang w:val="fr-FR"/>
              </w:rPr>
            </w:pPr>
          </w:p>
        </w:tc>
      </w:tr>
      <w:tr w:rsidR="007D1359" w:rsidRPr="003865F3" w14:paraId="0E259334" w14:textId="77777777" w:rsidTr="00AB4924">
        <w:trPr>
          <w:trHeight w:val="1070"/>
        </w:trPr>
        <w:tc>
          <w:tcPr>
            <w:tcW w:w="2245" w:type="dxa"/>
          </w:tcPr>
          <w:p w14:paraId="2B123C90" w14:textId="425D82F0" w:rsidR="007D1359" w:rsidRPr="003865F3" w:rsidRDefault="00024F13" w:rsidP="007D1359">
            <w:pPr>
              <w:rPr>
                <w:color w:val="FF0000"/>
                <w:lang w:val="fr-FR"/>
              </w:rPr>
            </w:pPr>
            <w:r w:rsidRPr="003865F3">
              <w:rPr>
                <w:color w:val="FF0000"/>
                <w:lang w:val="fr-FR"/>
              </w:rPr>
              <w:t>Le ou la répondante signale une activité illégale au sein du foyer (par exemple, le travail des enfants).</w:t>
            </w:r>
          </w:p>
        </w:tc>
        <w:tc>
          <w:tcPr>
            <w:tcW w:w="5760" w:type="dxa"/>
          </w:tcPr>
          <w:p w14:paraId="2B320080" w14:textId="391D9498" w:rsidR="00024F13" w:rsidRPr="003865F3" w:rsidRDefault="00024F13" w:rsidP="006E789B">
            <w:pPr>
              <w:pStyle w:val="ListParagraph"/>
              <w:numPr>
                <w:ilvl w:val="0"/>
                <w:numId w:val="11"/>
              </w:numPr>
              <w:rPr>
                <w:color w:val="FF0000"/>
                <w:lang w:val="fr-FR"/>
              </w:rPr>
            </w:pPr>
            <w:r w:rsidRPr="003865F3">
              <w:rPr>
                <w:color w:val="FF0000"/>
                <w:lang w:val="fr-FR"/>
              </w:rPr>
              <w:t xml:space="preserve">L'article IV.8 du </w:t>
            </w:r>
            <w:proofErr w:type="spellStart"/>
            <w:r w:rsidRPr="003865F3">
              <w:rPr>
                <w:color w:val="FF0000"/>
                <w:lang w:val="fr-FR"/>
              </w:rPr>
              <w:t>MoU</w:t>
            </w:r>
            <w:proofErr w:type="spellEnd"/>
            <w:r w:rsidRPr="003865F3">
              <w:rPr>
                <w:color w:val="FF0000"/>
                <w:lang w:val="fr-FR"/>
              </w:rPr>
              <w:t xml:space="preserve"> stipule qu</w:t>
            </w:r>
            <w:proofErr w:type="gramStart"/>
            <w:r w:rsidRPr="003865F3">
              <w:rPr>
                <w:color w:val="FF0000"/>
                <w:lang w:val="fr-FR"/>
              </w:rPr>
              <w:t>’«</w:t>
            </w:r>
            <w:proofErr w:type="gramEnd"/>
            <w:r w:rsidRPr="003865F3">
              <w:rPr>
                <w:color w:val="FF0000"/>
                <w:lang w:val="fr-FR"/>
              </w:rPr>
              <w:t> aucune personne participant à l'enquête sur les ménages ou administrant l’enquête ne doit être poursuivie en raison des questions posées et des réponses données dans le cadre de l'enquête ».</w:t>
            </w:r>
          </w:p>
          <w:p w14:paraId="75AA1FA0" w14:textId="4FF0C6B9" w:rsidR="007D1359" w:rsidRPr="003865F3" w:rsidRDefault="00024F13" w:rsidP="00024F13">
            <w:pPr>
              <w:pStyle w:val="ListParagraph"/>
              <w:numPr>
                <w:ilvl w:val="0"/>
                <w:numId w:val="11"/>
              </w:numPr>
              <w:rPr>
                <w:color w:val="FF0000"/>
                <w:lang w:val="fr-FR"/>
              </w:rPr>
            </w:pPr>
            <w:r w:rsidRPr="003865F3">
              <w:rPr>
                <w:color w:val="FF0000"/>
                <w:lang w:val="fr-FR"/>
              </w:rPr>
              <w:t xml:space="preserve">Les enquêteurs seront formés afin de ne pas commenter les réponses des participants et ne pas émettre d'opinion à leur sujet. </w:t>
            </w:r>
          </w:p>
        </w:tc>
        <w:tc>
          <w:tcPr>
            <w:tcW w:w="1440" w:type="dxa"/>
          </w:tcPr>
          <w:p w14:paraId="65F5070B" w14:textId="77777777" w:rsidR="00024F13" w:rsidRPr="003865F3" w:rsidRDefault="00024F13" w:rsidP="00024F13">
            <w:pPr>
              <w:rPr>
                <w:lang w:val="fr-FR"/>
              </w:rPr>
            </w:pPr>
            <w:r w:rsidRPr="003865F3">
              <w:rPr>
                <w:color w:val="FF0000"/>
                <w:lang w:val="fr-FR"/>
              </w:rPr>
              <w:t xml:space="preserve">Coordinateur national de l’enquête MICS </w:t>
            </w:r>
          </w:p>
          <w:p w14:paraId="1A8C29A0" w14:textId="77777777" w:rsidR="007D1359" w:rsidRPr="003865F3" w:rsidRDefault="007D1359" w:rsidP="007D1359">
            <w:pPr>
              <w:rPr>
                <w:color w:val="FF0000"/>
                <w:lang w:val="fr-FR"/>
              </w:rPr>
            </w:pPr>
          </w:p>
        </w:tc>
      </w:tr>
      <w:tr w:rsidR="00C66B46" w:rsidRPr="00D84932" w14:paraId="502CFB23" w14:textId="77777777" w:rsidTr="00AB4924">
        <w:trPr>
          <w:trHeight w:val="1008"/>
        </w:trPr>
        <w:tc>
          <w:tcPr>
            <w:tcW w:w="2245" w:type="dxa"/>
          </w:tcPr>
          <w:p w14:paraId="174C388B" w14:textId="5535BAE9" w:rsidR="00C66B46" w:rsidRPr="003865F3" w:rsidRDefault="00F325FF" w:rsidP="00C66B46">
            <w:pPr>
              <w:rPr>
                <w:color w:val="FF0000"/>
                <w:lang w:val="fr-FR"/>
              </w:rPr>
            </w:pPr>
            <w:r w:rsidRPr="003865F3">
              <w:rPr>
                <w:color w:val="FF0000"/>
                <w:lang w:val="fr-FR"/>
              </w:rPr>
              <w:lastRenderedPageBreak/>
              <w:t>Présence de militaires ou d'autres figures d'autorité (intimidation potentielle)</w:t>
            </w:r>
          </w:p>
        </w:tc>
        <w:tc>
          <w:tcPr>
            <w:tcW w:w="5760" w:type="dxa"/>
          </w:tcPr>
          <w:p w14:paraId="6221F6C0" w14:textId="799A978D" w:rsidR="00C66B46" w:rsidRPr="003865F3" w:rsidRDefault="007A6D66" w:rsidP="00683ED4">
            <w:pPr>
              <w:pStyle w:val="ListParagraph"/>
              <w:numPr>
                <w:ilvl w:val="0"/>
                <w:numId w:val="12"/>
              </w:numPr>
              <w:rPr>
                <w:color w:val="FF0000"/>
                <w:lang w:val="fr-FR"/>
              </w:rPr>
            </w:pPr>
            <w:r w:rsidRPr="003865F3">
              <w:rPr>
                <w:color w:val="FF0000"/>
                <w:lang w:val="fr-FR"/>
              </w:rPr>
              <w:t xml:space="preserve">Des instructions claires seront données à l'escorte militaire et/ou aux </w:t>
            </w:r>
            <w:r w:rsidR="00683ED4" w:rsidRPr="003865F3">
              <w:rPr>
                <w:color w:val="FF0000"/>
                <w:lang w:val="fr-FR"/>
              </w:rPr>
              <w:t>autres figures d’autorité</w:t>
            </w:r>
            <w:r w:rsidRPr="003865F3">
              <w:rPr>
                <w:color w:val="FF0000"/>
                <w:lang w:val="fr-FR"/>
              </w:rPr>
              <w:t xml:space="preserve"> </w:t>
            </w:r>
            <w:r w:rsidR="00683ED4" w:rsidRPr="003865F3">
              <w:rPr>
                <w:color w:val="FF0000"/>
                <w:lang w:val="fr-FR"/>
              </w:rPr>
              <w:t>afin</w:t>
            </w:r>
            <w:r w:rsidRPr="003865F3">
              <w:rPr>
                <w:color w:val="FF0000"/>
                <w:lang w:val="fr-FR"/>
              </w:rPr>
              <w:t xml:space="preserve"> qu'elles ne soient pas autorisées à entrer dans les maisons et qu'elles ne soient pas visibles par les répondants à aucun moment avant, pendant ou après l'enquête.</w:t>
            </w:r>
          </w:p>
        </w:tc>
        <w:tc>
          <w:tcPr>
            <w:tcW w:w="1440" w:type="dxa"/>
          </w:tcPr>
          <w:p w14:paraId="4C03FDD0" w14:textId="14372FBC" w:rsidR="00C66B46" w:rsidRPr="003865F3" w:rsidRDefault="007A6D66" w:rsidP="00C66B46">
            <w:pPr>
              <w:rPr>
                <w:color w:val="FF0000"/>
                <w:lang w:val="fr-FR"/>
              </w:rPr>
            </w:pPr>
            <w:r w:rsidRPr="003865F3">
              <w:rPr>
                <w:color w:val="FF0000"/>
                <w:lang w:val="fr-FR"/>
              </w:rPr>
              <w:t>Coordinateur national MICS/Comité de pilotage</w:t>
            </w:r>
          </w:p>
        </w:tc>
      </w:tr>
      <w:tr w:rsidR="00CC08EB" w:rsidRPr="00D84932" w14:paraId="1FFC0839" w14:textId="77777777" w:rsidTr="009318AD">
        <w:trPr>
          <w:trHeight w:val="1259"/>
        </w:trPr>
        <w:tc>
          <w:tcPr>
            <w:tcW w:w="2245" w:type="dxa"/>
          </w:tcPr>
          <w:p w14:paraId="15779ECC" w14:textId="0DAF989C" w:rsidR="00CC08EB" w:rsidRPr="003865F3" w:rsidRDefault="00F325FF" w:rsidP="00CC08EB">
            <w:pPr>
              <w:rPr>
                <w:color w:val="FF0000"/>
                <w:lang w:val="fr-FR"/>
              </w:rPr>
            </w:pPr>
            <w:r w:rsidRPr="003865F3">
              <w:rPr>
                <w:color w:val="FF0000"/>
                <w:lang w:val="fr-FR"/>
              </w:rPr>
              <w:t>Les répondants demandent un retour d'information sur les performances de l'enfant dans le cadre de l'évaluation de l'apprentissage ou demandent les résultats des tests de qualité de l'eau, etc.</w:t>
            </w:r>
          </w:p>
        </w:tc>
        <w:tc>
          <w:tcPr>
            <w:tcW w:w="5760" w:type="dxa"/>
          </w:tcPr>
          <w:p w14:paraId="13926873" w14:textId="177F9216" w:rsidR="00683ED4" w:rsidRPr="003865F3" w:rsidRDefault="00683ED4" w:rsidP="00CC08EB">
            <w:pPr>
              <w:pStyle w:val="ListParagraph"/>
              <w:numPr>
                <w:ilvl w:val="0"/>
                <w:numId w:val="12"/>
              </w:numPr>
              <w:rPr>
                <w:color w:val="FF0000"/>
                <w:lang w:val="fr-FR"/>
              </w:rPr>
            </w:pPr>
            <w:r w:rsidRPr="003865F3">
              <w:rPr>
                <w:color w:val="FF0000"/>
                <w:lang w:val="fr-FR"/>
              </w:rPr>
              <w:t>Les enquêteurs expliqueront clairement, lors du processus de consentement éclairé, qu'ils ne sont pas en mesure de discuter des performances de l'enfant lors des évaluations de l'apprentissage ou des résultats de l'analyse de la qualité de l'eau.</w:t>
            </w:r>
          </w:p>
          <w:p w14:paraId="2913C3DD" w14:textId="64F710ED" w:rsidR="00CC08EB" w:rsidRPr="003865F3" w:rsidRDefault="00683ED4" w:rsidP="00683ED4">
            <w:pPr>
              <w:pStyle w:val="ListParagraph"/>
              <w:numPr>
                <w:ilvl w:val="0"/>
                <w:numId w:val="12"/>
              </w:numPr>
              <w:rPr>
                <w:color w:val="FF0000"/>
                <w:lang w:val="fr-FR"/>
              </w:rPr>
            </w:pPr>
            <w:r w:rsidRPr="003865F3">
              <w:rPr>
                <w:color w:val="FF0000"/>
                <w:lang w:val="fr-FR"/>
              </w:rPr>
              <w:t>Toutefois, des informations sur les résultats des tests de qualité de l'eau seront mises à la disposition du public à (fournir des détails).</w:t>
            </w:r>
          </w:p>
        </w:tc>
        <w:tc>
          <w:tcPr>
            <w:tcW w:w="1440" w:type="dxa"/>
          </w:tcPr>
          <w:p w14:paraId="764DC142" w14:textId="0096DD3D" w:rsidR="00CC08EB" w:rsidRPr="003865F3" w:rsidRDefault="007A6D66" w:rsidP="00CC08EB">
            <w:pPr>
              <w:rPr>
                <w:color w:val="FF0000"/>
                <w:lang w:val="fr-FR"/>
              </w:rPr>
            </w:pPr>
            <w:r w:rsidRPr="003865F3">
              <w:rPr>
                <w:color w:val="FF0000"/>
                <w:lang w:val="fr-FR"/>
              </w:rPr>
              <w:t>Coordinateur national MICS/</w:t>
            </w:r>
            <w:r w:rsidRPr="003865F3">
              <w:rPr>
                <w:lang w:val="fr-FR"/>
              </w:rPr>
              <w:t xml:space="preserve"> </w:t>
            </w:r>
            <w:r w:rsidRPr="003865F3">
              <w:rPr>
                <w:color w:val="FF0000"/>
                <w:lang w:val="fr-FR"/>
              </w:rPr>
              <w:t>Facilitateurs de formation</w:t>
            </w:r>
          </w:p>
        </w:tc>
      </w:tr>
      <w:tr w:rsidR="00CC08EB" w:rsidRPr="003865F3" w14:paraId="5879C830" w14:textId="77777777" w:rsidTr="00AB4924">
        <w:trPr>
          <w:trHeight w:val="720"/>
        </w:trPr>
        <w:tc>
          <w:tcPr>
            <w:tcW w:w="2245" w:type="dxa"/>
          </w:tcPr>
          <w:p w14:paraId="21D1CB61" w14:textId="67991632" w:rsidR="00CC08EB" w:rsidRPr="003865F3" w:rsidRDefault="00F325FF" w:rsidP="00CC08EB">
            <w:pPr>
              <w:rPr>
                <w:color w:val="FF0000"/>
                <w:lang w:val="fr-FR"/>
              </w:rPr>
            </w:pPr>
            <w:r w:rsidRPr="003865F3">
              <w:rPr>
                <w:color w:val="FF0000"/>
                <w:lang w:val="fr-FR"/>
              </w:rPr>
              <w:t>Les résultats des analyses de la qualité de l'eau révèlent un niveau de contamination à haut risque</w:t>
            </w:r>
          </w:p>
        </w:tc>
        <w:tc>
          <w:tcPr>
            <w:tcW w:w="5760" w:type="dxa"/>
          </w:tcPr>
          <w:p w14:paraId="0874084E" w14:textId="46A2FF3A" w:rsidR="00CC08EB" w:rsidRPr="003865F3" w:rsidRDefault="00683ED4" w:rsidP="00683ED4">
            <w:pPr>
              <w:pStyle w:val="ListParagraph"/>
              <w:numPr>
                <w:ilvl w:val="0"/>
                <w:numId w:val="12"/>
              </w:numPr>
              <w:rPr>
                <w:color w:val="FF0000"/>
                <w:lang w:val="fr-FR"/>
              </w:rPr>
            </w:pPr>
            <w:r w:rsidRPr="003865F3">
              <w:rPr>
                <w:color w:val="FF0000"/>
                <w:lang w:val="fr-FR"/>
              </w:rPr>
              <w:t>Des protocoles clairs seront mis en place pour signaler immédiatement les résultats aux autorités compétentes (fournir des détails).</w:t>
            </w:r>
          </w:p>
        </w:tc>
        <w:tc>
          <w:tcPr>
            <w:tcW w:w="1440" w:type="dxa"/>
          </w:tcPr>
          <w:p w14:paraId="666F576C" w14:textId="4FB36AEE" w:rsidR="00CC08EB" w:rsidRPr="003865F3" w:rsidRDefault="007A6D66" w:rsidP="00CC08EB">
            <w:pPr>
              <w:rPr>
                <w:color w:val="FF0000"/>
                <w:lang w:val="fr-FR"/>
              </w:rPr>
            </w:pPr>
            <w:r w:rsidRPr="003865F3">
              <w:rPr>
                <w:color w:val="FF0000"/>
                <w:lang w:val="fr-FR"/>
              </w:rPr>
              <w:t>Enquêteurs</w:t>
            </w:r>
            <w:r w:rsidR="00CC08EB" w:rsidRPr="003865F3">
              <w:rPr>
                <w:color w:val="FF0000"/>
                <w:lang w:val="fr-FR"/>
              </w:rPr>
              <w:t xml:space="preserve">/ </w:t>
            </w:r>
            <w:r w:rsidRPr="003865F3">
              <w:rPr>
                <w:color w:val="FF0000"/>
                <w:lang w:val="fr-FR"/>
              </w:rPr>
              <w:t>Coordinateur national MICS</w:t>
            </w:r>
          </w:p>
        </w:tc>
      </w:tr>
    </w:tbl>
    <w:p w14:paraId="4C83318E" w14:textId="44BF5B05" w:rsidR="00A81223" w:rsidRPr="003865F3" w:rsidRDefault="00A81223" w:rsidP="00414398">
      <w:pPr>
        <w:rPr>
          <w:lang w:val="fr-FR"/>
        </w:rPr>
      </w:pPr>
    </w:p>
    <w:p w14:paraId="0002362F" w14:textId="331137C6" w:rsidR="00A81223" w:rsidRPr="003865F3" w:rsidRDefault="00683ED4" w:rsidP="00A81223">
      <w:pPr>
        <w:pStyle w:val="Heading2"/>
        <w:numPr>
          <w:ilvl w:val="0"/>
          <w:numId w:val="8"/>
        </w:numPr>
        <w:rPr>
          <w:lang w:val="fr-FR"/>
        </w:rPr>
      </w:pPr>
      <w:r w:rsidRPr="003865F3">
        <w:rPr>
          <w:lang w:val="fr-FR"/>
        </w:rPr>
        <w:t xml:space="preserve">PROCESSUS DE RECRUTEMENT ET DE CONSENTEMENT </w:t>
      </w:r>
    </w:p>
    <w:p w14:paraId="60069AE8" w14:textId="37F0D944" w:rsidR="001D36B1" w:rsidRPr="003865F3" w:rsidRDefault="00683ED4" w:rsidP="001D36B1">
      <w:pPr>
        <w:rPr>
          <w:lang w:val="fr-FR"/>
        </w:rPr>
      </w:pPr>
      <w:r w:rsidRPr="003865F3">
        <w:rPr>
          <w:lang w:val="fr-FR"/>
        </w:rPr>
        <w:t>Cette section identifie les risques éthiques potentiels et les stratégies d'atténuation liés au recrutement des répondants à l'enquête et à l'obtention du consentement éclairé. Il s'agit, par exemple, de s'assurer que des informations suffisantes sont partagées avec les participants pour obtenir un consentement éclairé, d'obtenir le consentement des parents pour la participation de mineurs à l'enquête ou de mettre en place des procédures d'assentiment adaptées à l'âge des mineurs.</w:t>
      </w:r>
    </w:p>
    <w:tbl>
      <w:tblPr>
        <w:tblStyle w:val="TableGrid"/>
        <w:tblW w:w="9355" w:type="dxa"/>
        <w:tblInd w:w="0" w:type="dxa"/>
        <w:tblLook w:val="04A0" w:firstRow="1" w:lastRow="0" w:firstColumn="1" w:lastColumn="0" w:noHBand="0" w:noVBand="1"/>
      </w:tblPr>
      <w:tblGrid>
        <w:gridCol w:w="2245"/>
        <w:gridCol w:w="5580"/>
        <w:gridCol w:w="1530"/>
      </w:tblGrid>
      <w:tr w:rsidR="001D36B1" w:rsidRPr="003865F3" w14:paraId="104B2899" w14:textId="77777777" w:rsidTr="001D36B1">
        <w:tc>
          <w:tcPr>
            <w:tcW w:w="2245" w:type="dxa"/>
            <w:shd w:val="clear" w:color="auto" w:fill="D9E2F3" w:themeFill="accent1" w:themeFillTint="33"/>
          </w:tcPr>
          <w:p w14:paraId="73CF268A" w14:textId="782ADFBD" w:rsidR="001D36B1" w:rsidRPr="003865F3" w:rsidRDefault="00683ED4" w:rsidP="00DE626E">
            <w:pPr>
              <w:rPr>
                <w:lang w:val="fr-FR"/>
              </w:rPr>
            </w:pPr>
            <w:r w:rsidRPr="003865F3">
              <w:rPr>
                <w:lang w:val="fr-FR"/>
              </w:rPr>
              <w:t>Risque</w:t>
            </w:r>
            <w:r w:rsidR="001D36B1" w:rsidRPr="003865F3">
              <w:rPr>
                <w:lang w:val="fr-FR"/>
              </w:rPr>
              <w:t xml:space="preserve">s </w:t>
            </w:r>
          </w:p>
        </w:tc>
        <w:tc>
          <w:tcPr>
            <w:tcW w:w="5580" w:type="dxa"/>
            <w:shd w:val="clear" w:color="auto" w:fill="D9E2F3" w:themeFill="accent1" w:themeFillTint="33"/>
          </w:tcPr>
          <w:p w14:paraId="6D067D88" w14:textId="0A72D420" w:rsidR="001D36B1" w:rsidRPr="003865F3" w:rsidRDefault="00683ED4" w:rsidP="00DE626E">
            <w:pPr>
              <w:rPr>
                <w:lang w:val="fr-FR"/>
              </w:rPr>
            </w:pPr>
            <w:r w:rsidRPr="003865F3">
              <w:rPr>
                <w:lang w:val="fr-FR"/>
              </w:rPr>
              <w:t>Stratégies de gestion des risques</w:t>
            </w:r>
          </w:p>
        </w:tc>
        <w:tc>
          <w:tcPr>
            <w:tcW w:w="1530" w:type="dxa"/>
            <w:shd w:val="clear" w:color="auto" w:fill="D9E2F3" w:themeFill="accent1" w:themeFillTint="33"/>
          </w:tcPr>
          <w:p w14:paraId="2D0ABEEC" w14:textId="71E4FEA8" w:rsidR="001D36B1" w:rsidRPr="003865F3" w:rsidRDefault="00683ED4" w:rsidP="00DE626E">
            <w:pPr>
              <w:rPr>
                <w:lang w:val="fr-FR"/>
              </w:rPr>
            </w:pPr>
            <w:r w:rsidRPr="003865F3">
              <w:rPr>
                <w:lang w:val="fr-FR"/>
              </w:rPr>
              <w:t>Point f</w:t>
            </w:r>
            <w:r w:rsidR="001D36B1" w:rsidRPr="003865F3">
              <w:rPr>
                <w:lang w:val="fr-FR"/>
              </w:rPr>
              <w:t xml:space="preserve">ocal </w:t>
            </w:r>
          </w:p>
        </w:tc>
      </w:tr>
      <w:tr w:rsidR="00894EC9" w:rsidRPr="00D84932" w14:paraId="682F8CFB" w14:textId="77777777" w:rsidTr="00252E2F">
        <w:tc>
          <w:tcPr>
            <w:tcW w:w="2245" w:type="dxa"/>
            <w:shd w:val="clear" w:color="auto" w:fill="auto"/>
          </w:tcPr>
          <w:p w14:paraId="4BFC8EB4" w14:textId="2C04774E" w:rsidR="00894EC9" w:rsidRPr="003865F3" w:rsidRDefault="003865F3" w:rsidP="00E862E3">
            <w:pPr>
              <w:rPr>
                <w:color w:val="FF0000"/>
                <w:lang w:val="fr-FR"/>
              </w:rPr>
            </w:pPr>
            <w:r w:rsidRPr="003865F3">
              <w:rPr>
                <w:color w:val="FF0000"/>
                <w:lang w:val="fr-FR"/>
              </w:rPr>
              <w:t>Le texte de consentement ne fournit pas suffisamment de détails pour que les participants apportent leur consentement éclairé.</w:t>
            </w:r>
          </w:p>
          <w:p w14:paraId="7550C7F4" w14:textId="77777777" w:rsidR="00894EC9" w:rsidRPr="003865F3" w:rsidRDefault="00894EC9" w:rsidP="00E862E3">
            <w:pPr>
              <w:rPr>
                <w:color w:val="FF0000"/>
                <w:lang w:val="fr-FR"/>
              </w:rPr>
            </w:pPr>
          </w:p>
          <w:p w14:paraId="3C07D503" w14:textId="0A76A14A" w:rsidR="00894EC9" w:rsidRPr="003865F3" w:rsidRDefault="00894EC9" w:rsidP="00E862E3">
            <w:pPr>
              <w:rPr>
                <w:color w:val="FF0000"/>
                <w:lang w:val="fr-FR"/>
              </w:rPr>
            </w:pPr>
          </w:p>
        </w:tc>
        <w:tc>
          <w:tcPr>
            <w:tcW w:w="5580" w:type="dxa"/>
            <w:shd w:val="clear" w:color="auto" w:fill="auto"/>
          </w:tcPr>
          <w:p w14:paraId="22367FE2" w14:textId="3EEED76C" w:rsidR="00894EC9" w:rsidRPr="003865F3" w:rsidRDefault="00061CEA" w:rsidP="00E862E3">
            <w:pPr>
              <w:rPr>
                <w:color w:val="FF0000"/>
                <w:lang w:val="fr-FR"/>
              </w:rPr>
            </w:pPr>
            <w:r>
              <w:rPr>
                <w:color w:val="FF0000"/>
                <w:lang w:val="fr-FR"/>
              </w:rPr>
              <w:t>Le texte de consentement inclut des informations sur</w:t>
            </w:r>
          </w:p>
          <w:p w14:paraId="30A10108" w14:textId="69E92D72" w:rsidR="004D59DB" w:rsidRPr="003865F3" w:rsidRDefault="00061CEA" w:rsidP="00E862E3">
            <w:pPr>
              <w:pStyle w:val="ListParagraph"/>
              <w:numPr>
                <w:ilvl w:val="0"/>
                <w:numId w:val="5"/>
              </w:numPr>
              <w:rPr>
                <w:color w:val="FF0000"/>
                <w:lang w:val="fr-FR"/>
              </w:rPr>
            </w:pPr>
            <w:r>
              <w:rPr>
                <w:color w:val="FF0000"/>
                <w:lang w:val="fr-FR"/>
              </w:rPr>
              <w:t>La durée de l’enquête</w:t>
            </w:r>
          </w:p>
          <w:p w14:paraId="10BAB2E7" w14:textId="249611AB" w:rsidR="007647C5" w:rsidRPr="003865F3" w:rsidRDefault="00061CEA" w:rsidP="00626BAC">
            <w:pPr>
              <w:pStyle w:val="ListParagraph"/>
              <w:numPr>
                <w:ilvl w:val="0"/>
                <w:numId w:val="5"/>
              </w:numPr>
              <w:rPr>
                <w:color w:val="FF0000"/>
                <w:lang w:val="fr-FR"/>
              </w:rPr>
            </w:pPr>
            <w:r>
              <w:rPr>
                <w:color w:val="FF0000"/>
                <w:lang w:val="fr-FR"/>
              </w:rPr>
              <w:t xml:space="preserve">La participation sur </w:t>
            </w:r>
            <w:r w:rsidR="004D59DB" w:rsidRPr="003E5668">
              <w:rPr>
                <w:color w:val="FF0000"/>
                <w:lang w:val="fr-FR"/>
              </w:rPr>
              <w:t>la</w:t>
            </w:r>
            <w:r w:rsidRPr="003E5668">
              <w:rPr>
                <w:color w:val="FF0000"/>
                <w:lang w:val="fr-FR"/>
              </w:rPr>
              <w:t xml:space="preserve"> base d</w:t>
            </w:r>
            <w:r w:rsidR="004D59DB" w:rsidRPr="003E5668">
              <w:rPr>
                <w:color w:val="FF0000"/>
                <w:lang w:val="fr-FR"/>
              </w:rPr>
              <w:t>u</w:t>
            </w:r>
            <w:r w:rsidRPr="003E5668">
              <w:rPr>
                <w:color w:val="FF0000"/>
                <w:lang w:val="fr-FR"/>
              </w:rPr>
              <w:t xml:space="preserve"> volontariat</w:t>
            </w:r>
          </w:p>
          <w:p w14:paraId="313F0D07" w14:textId="2C30908F" w:rsidR="007647C5" w:rsidRPr="003865F3" w:rsidRDefault="00361C0C" w:rsidP="00E862E3">
            <w:pPr>
              <w:pStyle w:val="ListParagraph"/>
              <w:numPr>
                <w:ilvl w:val="0"/>
                <w:numId w:val="5"/>
              </w:numPr>
              <w:rPr>
                <w:color w:val="FF0000"/>
                <w:lang w:val="fr-FR"/>
              </w:rPr>
            </w:pPr>
            <w:r>
              <w:rPr>
                <w:color w:val="FF0000"/>
                <w:lang w:val="fr-FR"/>
              </w:rPr>
              <w:t>Les risques et bénéfices</w:t>
            </w:r>
          </w:p>
          <w:p w14:paraId="3F037939" w14:textId="003101C8" w:rsidR="00894EC9" w:rsidRPr="003E5668" w:rsidRDefault="00361C0C" w:rsidP="00E862E3">
            <w:pPr>
              <w:pStyle w:val="ListParagraph"/>
              <w:numPr>
                <w:ilvl w:val="0"/>
                <w:numId w:val="5"/>
              </w:numPr>
              <w:rPr>
                <w:color w:val="FF0000"/>
                <w:lang w:val="fr-FR"/>
              </w:rPr>
            </w:pPr>
            <w:r w:rsidRPr="003E5668">
              <w:rPr>
                <w:color w:val="FF0000"/>
                <w:lang w:val="fr-FR"/>
              </w:rPr>
              <w:t xml:space="preserve">La confidentialité </w:t>
            </w:r>
            <w:r w:rsidR="00894EC9" w:rsidRPr="003E5668">
              <w:rPr>
                <w:color w:val="FF0000"/>
                <w:lang w:val="fr-FR"/>
              </w:rPr>
              <w:t>(</w:t>
            </w:r>
            <w:r w:rsidRPr="003E5668">
              <w:rPr>
                <w:color w:val="FF0000"/>
                <w:lang w:val="fr-FR"/>
              </w:rPr>
              <w:t xml:space="preserve">et toute exception relative </w:t>
            </w:r>
            <w:r>
              <w:rPr>
                <w:color w:val="FF0000"/>
                <w:lang w:val="fr-FR"/>
              </w:rPr>
              <w:t xml:space="preserve">à l’obligation de </w:t>
            </w:r>
            <w:r w:rsidRPr="003E5668">
              <w:rPr>
                <w:color w:val="FF0000"/>
                <w:lang w:val="fr-FR"/>
              </w:rPr>
              <w:t xml:space="preserve">signalement en </w:t>
            </w:r>
            <w:r>
              <w:rPr>
                <w:color w:val="FF0000"/>
                <w:lang w:val="fr-FR"/>
              </w:rPr>
              <w:t>cas d’abus</w:t>
            </w:r>
            <w:r w:rsidR="00894EC9" w:rsidRPr="003E5668">
              <w:rPr>
                <w:color w:val="FF0000"/>
                <w:lang w:val="fr-FR"/>
              </w:rPr>
              <w:t>)</w:t>
            </w:r>
          </w:p>
          <w:p w14:paraId="13839BF3" w14:textId="27FDBE33" w:rsidR="00894EC9" w:rsidRPr="003E5668" w:rsidRDefault="000132EF" w:rsidP="002F7F58">
            <w:pPr>
              <w:pStyle w:val="ListParagraph"/>
              <w:numPr>
                <w:ilvl w:val="0"/>
                <w:numId w:val="5"/>
              </w:numPr>
              <w:rPr>
                <w:color w:val="FF0000"/>
                <w:lang w:val="fr-FR"/>
              </w:rPr>
            </w:pPr>
            <w:r>
              <w:rPr>
                <w:color w:val="FF0000"/>
                <w:lang w:val="fr-FR"/>
              </w:rPr>
              <w:t>Le caractère négociable des réponses aux questions</w:t>
            </w:r>
            <w:r w:rsidR="00361C0C" w:rsidRPr="003E5668">
              <w:rPr>
                <w:color w:val="FF0000"/>
                <w:lang w:val="fr-FR"/>
              </w:rPr>
              <w:t xml:space="preserve"> </w:t>
            </w:r>
            <w:r w:rsidR="00894EC9" w:rsidRPr="003E5668">
              <w:rPr>
                <w:color w:val="FF0000"/>
                <w:lang w:val="fr-FR"/>
              </w:rPr>
              <w:t>(</w:t>
            </w:r>
            <w:r w:rsidR="00361C0C" w:rsidRPr="003E5668">
              <w:rPr>
                <w:color w:val="FF0000"/>
                <w:lang w:val="fr-FR"/>
              </w:rPr>
              <w:t>c’est à di</w:t>
            </w:r>
            <w:r w:rsidR="00361C0C">
              <w:rPr>
                <w:color w:val="FF0000"/>
                <w:lang w:val="fr-FR"/>
              </w:rPr>
              <w:t>re que les répondants ne sont pas tenus de répondre à toutes les questions</w:t>
            </w:r>
            <w:r w:rsidR="00894EC9" w:rsidRPr="003E5668">
              <w:rPr>
                <w:color w:val="FF0000"/>
                <w:lang w:val="fr-FR"/>
              </w:rPr>
              <w:t>)</w:t>
            </w:r>
          </w:p>
        </w:tc>
        <w:tc>
          <w:tcPr>
            <w:tcW w:w="1530" w:type="dxa"/>
            <w:shd w:val="clear" w:color="auto" w:fill="auto"/>
          </w:tcPr>
          <w:p w14:paraId="3B02742C" w14:textId="3687FB90" w:rsidR="00894EC9" w:rsidRPr="003865F3" w:rsidRDefault="003865F3" w:rsidP="00E862E3">
            <w:pPr>
              <w:rPr>
                <w:color w:val="FF0000"/>
                <w:lang w:val="fr-FR"/>
              </w:rPr>
            </w:pPr>
            <w:r w:rsidRPr="003865F3">
              <w:rPr>
                <w:color w:val="FF0000"/>
                <w:lang w:val="fr-FR"/>
              </w:rPr>
              <w:t>Coordinateur national MICS/Facilitateurs de formation/Enquêteurs et superviseurs des équipes de terrain</w:t>
            </w:r>
          </w:p>
        </w:tc>
      </w:tr>
      <w:tr w:rsidR="002333AD" w:rsidRPr="00D84932" w14:paraId="0EA18628" w14:textId="77777777" w:rsidTr="00DE626E">
        <w:tc>
          <w:tcPr>
            <w:tcW w:w="2245" w:type="dxa"/>
            <w:shd w:val="clear" w:color="auto" w:fill="auto"/>
          </w:tcPr>
          <w:p w14:paraId="5FFA46AC" w14:textId="2FC5CDFA" w:rsidR="002333AD" w:rsidRPr="003865F3" w:rsidRDefault="003865F3" w:rsidP="00DE626E">
            <w:pPr>
              <w:rPr>
                <w:color w:val="FF0000"/>
                <w:lang w:val="fr-FR"/>
              </w:rPr>
            </w:pPr>
            <w:r w:rsidRPr="003865F3">
              <w:rPr>
                <w:color w:val="FF0000"/>
                <w:lang w:val="fr-FR"/>
              </w:rPr>
              <w:t>Le numéro de téléphone est enregistré sans le consentement de la personne.</w:t>
            </w:r>
          </w:p>
        </w:tc>
        <w:tc>
          <w:tcPr>
            <w:tcW w:w="5580" w:type="dxa"/>
            <w:shd w:val="clear" w:color="auto" w:fill="auto"/>
          </w:tcPr>
          <w:p w14:paraId="0EC87B10" w14:textId="31915384" w:rsidR="002333AD" w:rsidRPr="003865F3" w:rsidRDefault="00304A64" w:rsidP="00DE626E">
            <w:pPr>
              <w:rPr>
                <w:color w:val="FF0000"/>
                <w:lang w:val="fr-FR"/>
              </w:rPr>
            </w:pPr>
            <w:r w:rsidRPr="00304A64">
              <w:rPr>
                <w:color w:val="FF0000"/>
                <w:lang w:val="fr-FR"/>
              </w:rPr>
              <w:t xml:space="preserve">Les informations </w:t>
            </w:r>
            <w:r>
              <w:rPr>
                <w:color w:val="FF0000"/>
                <w:lang w:val="fr-FR"/>
              </w:rPr>
              <w:t>concernant le</w:t>
            </w:r>
            <w:r w:rsidRPr="00304A64">
              <w:rPr>
                <w:color w:val="FF0000"/>
                <w:lang w:val="fr-FR"/>
              </w:rPr>
              <w:t xml:space="preserve"> numéro de téléphone doivent être demandées à l'abonné lui-même et doivent être </w:t>
            </w:r>
            <w:r>
              <w:rPr>
                <w:color w:val="FF0000"/>
                <w:lang w:val="fr-FR"/>
              </w:rPr>
              <w:t>fourni</w:t>
            </w:r>
            <w:r w:rsidRPr="00304A64">
              <w:rPr>
                <w:color w:val="FF0000"/>
                <w:lang w:val="fr-FR"/>
              </w:rPr>
              <w:t>es librement par l'individu.</w:t>
            </w:r>
          </w:p>
        </w:tc>
        <w:tc>
          <w:tcPr>
            <w:tcW w:w="1530" w:type="dxa"/>
            <w:shd w:val="clear" w:color="auto" w:fill="auto"/>
          </w:tcPr>
          <w:p w14:paraId="3C25BBC7" w14:textId="77777777" w:rsidR="002333AD" w:rsidRPr="003865F3" w:rsidRDefault="002333AD" w:rsidP="00DE626E">
            <w:pPr>
              <w:rPr>
                <w:color w:val="FF0000"/>
                <w:lang w:val="fr-FR"/>
              </w:rPr>
            </w:pPr>
          </w:p>
        </w:tc>
      </w:tr>
      <w:tr w:rsidR="00894EC9" w:rsidRPr="00D84932" w14:paraId="3B1637E0" w14:textId="77777777" w:rsidTr="00CE1A3B">
        <w:tc>
          <w:tcPr>
            <w:tcW w:w="2245" w:type="dxa"/>
            <w:shd w:val="clear" w:color="auto" w:fill="FFFFFF" w:themeFill="background1"/>
          </w:tcPr>
          <w:p w14:paraId="09507064" w14:textId="2E4D11FE" w:rsidR="001645BB" w:rsidRDefault="003865F3" w:rsidP="00E862E3">
            <w:pPr>
              <w:rPr>
                <w:color w:val="FF0000"/>
                <w:lang w:val="fr-FR"/>
              </w:rPr>
            </w:pPr>
            <w:r w:rsidRPr="003865F3">
              <w:rPr>
                <w:color w:val="FF0000"/>
                <w:lang w:val="fr-FR"/>
              </w:rPr>
              <w:t>Le consentement des parents/</w:t>
            </w:r>
            <w:r>
              <w:rPr>
                <w:color w:val="FF0000"/>
                <w:lang w:val="fr-FR"/>
              </w:rPr>
              <w:t>gardien</w:t>
            </w:r>
            <w:r w:rsidRPr="003865F3">
              <w:rPr>
                <w:color w:val="FF0000"/>
                <w:lang w:val="fr-FR"/>
              </w:rPr>
              <w:t>s et/ou l'assentiment de l'enfant n'ont pas été obtenus</w:t>
            </w:r>
          </w:p>
          <w:p w14:paraId="6D5BCC92" w14:textId="77777777" w:rsidR="003865F3" w:rsidRDefault="003865F3" w:rsidP="00E862E3">
            <w:pPr>
              <w:rPr>
                <w:color w:val="FF0000"/>
                <w:lang w:val="fr-FR"/>
              </w:rPr>
            </w:pPr>
          </w:p>
          <w:p w14:paraId="75C3E902" w14:textId="56C050E6" w:rsidR="003865F3" w:rsidRPr="003865F3" w:rsidRDefault="003865F3" w:rsidP="00E862E3">
            <w:pPr>
              <w:rPr>
                <w:color w:val="FF0000"/>
                <w:lang w:val="fr-FR"/>
              </w:rPr>
            </w:pPr>
            <w:r w:rsidRPr="003865F3">
              <w:rPr>
                <w:color w:val="FF0000"/>
                <w:lang w:val="fr-FR"/>
              </w:rPr>
              <w:t>Le consentement de l'enfant n'est pas demandé alors que la loi l'exige.</w:t>
            </w:r>
          </w:p>
          <w:p w14:paraId="3DF4E272" w14:textId="2AEC74A7" w:rsidR="00894EC9" w:rsidRPr="003865F3" w:rsidRDefault="00894EC9" w:rsidP="00E862E3">
            <w:pPr>
              <w:rPr>
                <w:color w:val="FF0000"/>
                <w:lang w:val="fr-FR"/>
              </w:rPr>
            </w:pPr>
          </w:p>
        </w:tc>
        <w:tc>
          <w:tcPr>
            <w:tcW w:w="5580" w:type="dxa"/>
            <w:shd w:val="clear" w:color="auto" w:fill="FFFFFF" w:themeFill="background1"/>
          </w:tcPr>
          <w:p w14:paraId="2885D7F3" w14:textId="6455B5D3" w:rsidR="001A10C0" w:rsidRPr="001A10C0" w:rsidRDefault="001A10C0" w:rsidP="00CE1A3B">
            <w:pPr>
              <w:rPr>
                <w:color w:val="FF0000"/>
                <w:lang w:val="fr-FR"/>
              </w:rPr>
            </w:pPr>
            <w:r w:rsidRPr="001A10C0">
              <w:rPr>
                <w:color w:val="FF0000"/>
                <w:lang w:val="fr-FR"/>
              </w:rPr>
              <w:t>Des protocoles clairs pour obtenir le consentement des parents/adultes et l'assentiment des enfants</w:t>
            </w:r>
            <w:r w:rsidR="00C80D9D">
              <w:rPr>
                <w:color w:val="FF0000"/>
                <w:lang w:val="fr-FR"/>
              </w:rPr>
              <w:t xml:space="preserve"> sont en </w:t>
            </w:r>
            <w:r w:rsidR="000E51C0">
              <w:rPr>
                <w:color w:val="FF0000"/>
                <w:lang w:val="fr-FR"/>
              </w:rPr>
              <w:t>place</w:t>
            </w:r>
            <w:r w:rsidRPr="001A10C0">
              <w:rPr>
                <w:color w:val="FF0000"/>
                <w:lang w:val="fr-FR"/>
              </w:rPr>
              <w:t>.</w:t>
            </w:r>
          </w:p>
          <w:p w14:paraId="3C576F05" w14:textId="77777777" w:rsidR="001645BB" w:rsidRPr="000E51C0" w:rsidRDefault="001645BB" w:rsidP="00CE1A3B">
            <w:pPr>
              <w:rPr>
                <w:color w:val="FF0000"/>
                <w:lang w:val="fr-FR"/>
              </w:rPr>
            </w:pPr>
          </w:p>
          <w:p w14:paraId="3AB84DF4" w14:textId="472D403C" w:rsidR="00332E6F" w:rsidRPr="00332E6F" w:rsidRDefault="00332E6F" w:rsidP="00CE1A3B">
            <w:pPr>
              <w:rPr>
                <w:color w:val="FF0000"/>
                <w:lang w:val="fr-FR"/>
              </w:rPr>
            </w:pPr>
            <w:r w:rsidRPr="00332E6F">
              <w:rPr>
                <w:color w:val="FF0000"/>
                <w:lang w:val="fr-FR"/>
              </w:rPr>
              <w:t xml:space="preserve">Des protocoles clairs visant à obtenir le consentement éclairé des mineurs sont en place et </w:t>
            </w:r>
            <w:r w:rsidR="000E51C0">
              <w:rPr>
                <w:color w:val="FF0000"/>
                <w:lang w:val="fr-FR"/>
              </w:rPr>
              <w:t xml:space="preserve">sont </w:t>
            </w:r>
            <w:r w:rsidRPr="00332E6F">
              <w:rPr>
                <w:color w:val="FF0000"/>
                <w:lang w:val="fr-FR"/>
              </w:rPr>
              <w:t>conformes à la législation nationale (le cas échéant).</w:t>
            </w:r>
          </w:p>
          <w:p w14:paraId="383EF414" w14:textId="77777777" w:rsidR="007647C5" w:rsidRPr="005F269E" w:rsidRDefault="007647C5" w:rsidP="00CE1A3B">
            <w:pPr>
              <w:rPr>
                <w:color w:val="FF0000"/>
                <w:lang w:val="fr-FR"/>
              </w:rPr>
            </w:pPr>
          </w:p>
          <w:p w14:paraId="76A00953" w14:textId="569AF2F9" w:rsidR="007647C5" w:rsidRPr="003865F3" w:rsidRDefault="000E51C0" w:rsidP="00CE1A3B">
            <w:pPr>
              <w:rPr>
                <w:color w:val="FF0000"/>
                <w:lang w:val="fr-FR"/>
              </w:rPr>
            </w:pPr>
            <w:r w:rsidRPr="000E51C0">
              <w:rPr>
                <w:color w:val="FF0000"/>
                <w:lang w:val="fr-FR"/>
              </w:rPr>
              <w:t>Le consentement des parents ou des adultes n'est pas nécessaire pour interroger les adolescents âgés de 15 à 17</w:t>
            </w:r>
            <w:r>
              <w:rPr>
                <w:color w:val="FF0000"/>
                <w:lang w:val="fr-FR"/>
              </w:rPr>
              <w:t xml:space="preserve"> ans qui sont considérés comme « émancipés »</w:t>
            </w:r>
            <w:r w:rsidRPr="000E51C0">
              <w:rPr>
                <w:color w:val="FF0000"/>
                <w:lang w:val="fr-FR"/>
              </w:rPr>
              <w:t xml:space="preserve"> (c'est-à-dire qui ne vive</w:t>
            </w:r>
            <w:r>
              <w:rPr>
                <w:color w:val="FF0000"/>
                <w:lang w:val="fr-FR"/>
              </w:rPr>
              <w:t>nt pas avec une personne qui prend soin</w:t>
            </w:r>
            <w:r w:rsidRPr="000E51C0">
              <w:rPr>
                <w:color w:val="FF0000"/>
                <w:lang w:val="fr-FR"/>
              </w:rPr>
              <w:t xml:space="preserve"> d'eux).</w:t>
            </w:r>
          </w:p>
        </w:tc>
        <w:tc>
          <w:tcPr>
            <w:tcW w:w="1530" w:type="dxa"/>
            <w:shd w:val="clear" w:color="auto" w:fill="FFFFFF" w:themeFill="background1"/>
          </w:tcPr>
          <w:p w14:paraId="7492B427" w14:textId="77777777" w:rsidR="00894EC9" w:rsidRPr="003865F3" w:rsidRDefault="00894EC9" w:rsidP="00E862E3">
            <w:pPr>
              <w:rPr>
                <w:color w:val="FF0000"/>
                <w:lang w:val="fr-FR"/>
              </w:rPr>
            </w:pPr>
          </w:p>
        </w:tc>
      </w:tr>
    </w:tbl>
    <w:p w14:paraId="4869E14A" w14:textId="16D4E33F" w:rsidR="00A81223" w:rsidRPr="003865F3" w:rsidRDefault="00A81223" w:rsidP="00A81223">
      <w:pPr>
        <w:rPr>
          <w:lang w:val="fr-FR"/>
        </w:rPr>
      </w:pPr>
    </w:p>
    <w:p w14:paraId="302CDC9D" w14:textId="49014C68" w:rsidR="00A81223" w:rsidRPr="003865F3" w:rsidRDefault="00A81223" w:rsidP="00A81223">
      <w:pPr>
        <w:pStyle w:val="Heading2"/>
        <w:numPr>
          <w:ilvl w:val="0"/>
          <w:numId w:val="8"/>
        </w:numPr>
        <w:rPr>
          <w:lang w:val="fr-FR"/>
        </w:rPr>
      </w:pPr>
      <w:r w:rsidRPr="003865F3">
        <w:rPr>
          <w:lang w:val="fr-FR"/>
        </w:rPr>
        <w:lastRenderedPageBreak/>
        <w:t>RIS</w:t>
      </w:r>
      <w:r w:rsidR="00365DFF">
        <w:rPr>
          <w:lang w:val="fr-FR"/>
        </w:rPr>
        <w:t>ques pour les enquÊteurs</w:t>
      </w:r>
    </w:p>
    <w:p w14:paraId="07FCF99C" w14:textId="134CB7E6" w:rsidR="002B6106" w:rsidRPr="003865F3" w:rsidRDefault="00116315" w:rsidP="00FC5551">
      <w:pPr>
        <w:rPr>
          <w:lang w:val="fr-FR"/>
        </w:rPr>
      </w:pPr>
      <w:r w:rsidRPr="00116315">
        <w:rPr>
          <w:lang w:val="fr-FR"/>
        </w:rPr>
        <w:t>Cette section identifie les risques potentiels pour la sécurité ou la santé des enquêteurs pendant le travail sur le terrain</w:t>
      </w:r>
      <w:r>
        <w:rPr>
          <w:lang w:val="fr-FR"/>
        </w:rPr>
        <w:t xml:space="preserve"> et</w:t>
      </w:r>
      <w:r w:rsidRPr="00116315">
        <w:rPr>
          <w:lang w:val="fr-FR"/>
        </w:rPr>
        <w:t xml:space="preserve"> les stratégies pour y remédier. Les risques peuvent inclure, par exemple, des dangers potentiels pour la sécurité pendant les déplacements </w:t>
      </w:r>
      <w:r>
        <w:rPr>
          <w:lang w:val="fr-FR"/>
        </w:rPr>
        <w:t xml:space="preserve">nécessaires pour se rendre </w:t>
      </w:r>
      <w:r w:rsidRPr="00116315">
        <w:rPr>
          <w:lang w:val="fr-FR"/>
        </w:rPr>
        <w:t>vers les lieux de travail ou pendant les visites aux ménages.</w:t>
      </w:r>
    </w:p>
    <w:tbl>
      <w:tblPr>
        <w:tblStyle w:val="TableGrid"/>
        <w:tblW w:w="9355" w:type="dxa"/>
        <w:tblInd w:w="0" w:type="dxa"/>
        <w:tblLook w:val="04A0" w:firstRow="1" w:lastRow="0" w:firstColumn="1" w:lastColumn="0" w:noHBand="0" w:noVBand="1"/>
      </w:tblPr>
      <w:tblGrid>
        <w:gridCol w:w="2245"/>
        <w:gridCol w:w="5580"/>
        <w:gridCol w:w="1530"/>
      </w:tblGrid>
      <w:tr w:rsidR="00363B20" w:rsidRPr="003865F3" w14:paraId="3E29D245" w14:textId="77777777" w:rsidTr="00DE626E">
        <w:tc>
          <w:tcPr>
            <w:tcW w:w="2245" w:type="dxa"/>
            <w:shd w:val="clear" w:color="auto" w:fill="D9E2F3" w:themeFill="accent1" w:themeFillTint="33"/>
          </w:tcPr>
          <w:p w14:paraId="5D628098" w14:textId="59AADFC9" w:rsidR="002B6106" w:rsidRPr="003865F3" w:rsidRDefault="00116315" w:rsidP="00DE626E">
            <w:pPr>
              <w:rPr>
                <w:lang w:val="fr-FR"/>
              </w:rPr>
            </w:pPr>
            <w:r>
              <w:rPr>
                <w:lang w:val="fr-FR"/>
              </w:rPr>
              <w:t>Risque</w:t>
            </w:r>
            <w:r w:rsidR="002B6106" w:rsidRPr="003865F3">
              <w:rPr>
                <w:lang w:val="fr-FR"/>
              </w:rPr>
              <w:t xml:space="preserve">s </w:t>
            </w:r>
          </w:p>
        </w:tc>
        <w:tc>
          <w:tcPr>
            <w:tcW w:w="5580" w:type="dxa"/>
            <w:shd w:val="clear" w:color="auto" w:fill="D9E2F3" w:themeFill="accent1" w:themeFillTint="33"/>
          </w:tcPr>
          <w:p w14:paraId="26EC31C5" w14:textId="02D9FAD4" w:rsidR="002B6106" w:rsidRPr="003865F3" w:rsidRDefault="00116315" w:rsidP="00DE626E">
            <w:pPr>
              <w:rPr>
                <w:lang w:val="fr-FR"/>
              </w:rPr>
            </w:pPr>
            <w:r w:rsidRPr="003865F3">
              <w:rPr>
                <w:lang w:val="fr-FR"/>
              </w:rPr>
              <w:t>Stratégies de gestion des risques</w:t>
            </w:r>
          </w:p>
        </w:tc>
        <w:tc>
          <w:tcPr>
            <w:tcW w:w="1530" w:type="dxa"/>
            <w:shd w:val="clear" w:color="auto" w:fill="D9E2F3" w:themeFill="accent1" w:themeFillTint="33"/>
          </w:tcPr>
          <w:p w14:paraId="4E3E1148" w14:textId="7D80EB79" w:rsidR="002B6106" w:rsidRPr="003865F3" w:rsidRDefault="00116315" w:rsidP="00DE626E">
            <w:pPr>
              <w:rPr>
                <w:lang w:val="fr-FR"/>
              </w:rPr>
            </w:pPr>
            <w:r>
              <w:rPr>
                <w:lang w:val="fr-FR"/>
              </w:rPr>
              <w:t>Point f</w:t>
            </w:r>
            <w:r w:rsidR="002B6106" w:rsidRPr="003865F3">
              <w:rPr>
                <w:lang w:val="fr-FR"/>
              </w:rPr>
              <w:t xml:space="preserve">ocal </w:t>
            </w:r>
          </w:p>
        </w:tc>
      </w:tr>
      <w:tr w:rsidR="00363B20" w:rsidRPr="00D84932" w14:paraId="70D6FBA2" w14:textId="77777777" w:rsidTr="002B6106">
        <w:tc>
          <w:tcPr>
            <w:tcW w:w="2245" w:type="dxa"/>
            <w:shd w:val="clear" w:color="auto" w:fill="auto"/>
          </w:tcPr>
          <w:p w14:paraId="44E54FA1" w14:textId="185B4A28" w:rsidR="002B6106" w:rsidRPr="003865F3" w:rsidRDefault="00116315" w:rsidP="002B6106">
            <w:pPr>
              <w:rPr>
                <w:color w:val="FF0000"/>
                <w:lang w:val="fr-FR"/>
              </w:rPr>
            </w:pPr>
            <w:r w:rsidRPr="00116315">
              <w:rPr>
                <w:color w:val="FF0000"/>
                <w:lang w:val="fr-FR"/>
              </w:rPr>
              <w:t>Conditions potentiellement dangereuses sur le terrain</w:t>
            </w:r>
          </w:p>
        </w:tc>
        <w:tc>
          <w:tcPr>
            <w:tcW w:w="5580" w:type="dxa"/>
            <w:shd w:val="clear" w:color="auto" w:fill="auto"/>
          </w:tcPr>
          <w:p w14:paraId="07DAD5B6" w14:textId="2D256639" w:rsidR="00C83D08" w:rsidRDefault="00C83D08" w:rsidP="002B6106">
            <w:pPr>
              <w:rPr>
                <w:color w:val="FF0000"/>
                <w:lang w:val="fr-FR"/>
              </w:rPr>
            </w:pPr>
            <w:r w:rsidRPr="00C83D08">
              <w:rPr>
                <w:color w:val="FF0000"/>
                <w:lang w:val="fr-FR"/>
              </w:rPr>
              <w:t xml:space="preserve">Si les enquêteurs sont susceptibles d'être en danger, les activités de collecte de données en face à face seront </w:t>
            </w:r>
            <w:r w:rsidR="005068AF">
              <w:rPr>
                <w:color w:val="FF0000"/>
                <w:lang w:val="fr-FR"/>
              </w:rPr>
              <w:t>suspend</w:t>
            </w:r>
            <w:r w:rsidRPr="00C83D08">
              <w:rPr>
                <w:color w:val="FF0000"/>
                <w:lang w:val="fr-FR"/>
              </w:rPr>
              <w:t>ues jusqu'à ce que la situation s'améliore et qu</w:t>
            </w:r>
            <w:r w:rsidR="005068AF">
              <w:rPr>
                <w:color w:val="FF0000"/>
                <w:lang w:val="fr-FR"/>
              </w:rPr>
              <w:t xml:space="preserve">’elle soit à nouveau considérée comme sûre. </w:t>
            </w:r>
          </w:p>
          <w:p w14:paraId="7B601679" w14:textId="77777777" w:rsidR="002B6106" w:rsidRPr="005F269E" w:rsidRDefault="002B6106" w:rsidP="002B6106">
            <w:pPr>
              <w:rPr>
                <w:color w:val="FF0000"/>
                <w:lang w:val="fr-FR"/>
              </w:rPr>
            </w:pPr>
          </w:p>
          <w:p w14:paraId="2C2CA53D" w14:textId="7B869A0C" w:rsidR="002B6106" w:rsidRPr="009807F4" w:rsidRDefault="005068AF" w:rsidP="002B6106">
            <w:pPr>
              <w:rPr>
                <w:color w:val="FF0000"/>
                <w:lang w:val="fr-FR"/>
              </w:rPr>
            </w:pPr>
            <w:r w:rsidRPr="005068AF">
              <w:rPr>
                <w:color w:val="FF0000"/>
                <w:lang w:val="fr-FR"/>
              </w:rPr>
              <w:t xml:space="preserve">Des protocoles clairs </w:t>
            </w:r>
            <w:r>
              <w:rPr>
                <w:color w:val="FF0000"/>
                <w:lang w:val="fr-FR"/>
              </w:rPr>
              <w:t>permettant de</w:t>
            </w:r>
            <w:r w:rsidRPr="005068AF">
              <w:rPr>
                <w:color w:val="FF0000"/>
                <w:lang w:val="fr-FR"/>
              </w:rPr>
              <w:t xml:space="preserve"> protéger les enquêteurs et le personnel de terrain pendant le travail sur le terrain et des recommandations de sécurité pendant les visites des ménages (par exemple, </w:t>
            </w:r>
            <w:r w:rsidR="009807F4">
              <w:rPr>
                <w:color w:val="FF0000"/>
                <w:lang w:val="fr-FR"/>
              </w:rPr>
              <w:t>le travail</w:t>
            </w:r>
            <w:r w:rsidRPr="005068AF">
              <w:rPr>
                <w:color w:val="FF0000"/>
                <w:lang w:val="fr-FR"/>
              </w:rPr>
              <w:t xml:space="preserve"> en binôme ou le</w:t>
            </w:r>
            <w:r w:rsidR="009807F4">
              <w:rPr>
                <w:color w:val="FF0000"/>
                <w:lang w:val="fr-FR"/>
              </w:rPr>
              <w:t xml:space="preserve"> fait que le</w:t>
            </w:r>
            <w:r w:rsidRPr="005068AF">
              <w:rPr>
                <w:color w:val="FF0000"/>
                <w:lang w:val="fr-FR"/>
              </w:rPr>
              <w:t xml:space="preserve">s superviseurs </w:t>
            </w:r>
            <w:r w:rsidR="009807F4">
              <w:rPr>
                <w:color w:val="FF0000"/>
                <w:lang w:val="fr-FR"/>
              </w:rPr>
              <w:t>soient à portée</w:t>
            </w:r>
            <w:r w:rsidRPr="005068AF">
              <w:rPr>
                <w:color w:val="FF0000"/>
                <w:lang w:val="fr-FR"/>
              </w:rPr>
              <w:t xml:space="preserve"> de vue ou </w:t>
            </w:r>
            <w:r w:rsidR="009807F4">
              <w:rPr>
                <w:color w:val="FF0000"/>
                <w:lang w:val="fr-FR"/>
              </w:rPr>
              <w:t>qu’ils veillent sur</w:t>
            </w:r>
            <w:r w:rsidRPr="005068AF">
              <w:rPr>
                <w:color w:val="FF0000"/>
                <w:lang w:val="fr-FR"/>
              </w:rPr>
              <w:t xml:space="preserve"> les enquêteurs) seront mis en place et seront abordés pendant la formation.</w:t>
            </w:r>
          </w:p>
        </w:tc>
        <w:tc>
          <w:tcPr>
            <w:tcW w:w="1530" w:type="dxa"/>
            <w:shd w:val="clear" w:color="auto" w:fill="auto"/>
          </w:tcPr>
          <w:p w14:paraId="47CBCF28" w14:textId="3A4ED14F" w:rsidR="002B6106" w:rsidRPr="009807F4" w:rsidRDefault="009807F4" w:rsidP="002B6106">
            <w:pPr>
              <w:rPr>
                <w:color w:val="FF0000"/>
                <w:lang w:val="fr-FR"/>
              </w:rPr>
            </w:pPr>
            <w:r w:rsidRPr="009807F4">
              <w:rPr>
                <w:color w:val="FF0000"/>
                <w:lang w:val="fr-FR"/>
              </w:rPr>
              <w:t>Coordinateur national MICS/Facilitateurs de formation</w:t>
            </w:r>
            <w:r w:rsidR="00701711" w:rsidRPr="009807F4">
              <w:rPr>
                <w:color w:val="FF0000"/>
                <w:lang w:val="fr-FR"/>
              </w:rPr>
              <w:t>/</w:t>
            </w:r>
            <w:r w:rsidRPr="003865F3">
              <w:rPr>
                <w:color w:val="FF0000"/>
                <w:lang w:val="fr-FR"/>
              </w:rPr>
              <w:t>Enquêteurs et superviseurs des équipes de terrain</w:t>
            </w:r>
          </w:p>
        </w:tc>
      </w:tr>
    </w:tbl>
    <w:p w14:paraId="29F2A9A2" w14:textId="77777777" w:rsidR="002B6106" w:rsidRPr="009807F4" w:rsidRDefault="002B6106" w:rsidP="00A81223">
      <w:pPr>
        <w:rPr>
          <w:lang w:val="fr-FR"/>
        </w:rPr>
      </w:pPr>
    </w:p>
    <w:p w14:paraId="6F0C631B" w14:textId="1E500A5F" w:rsidR="00A81223" w:rsidRPr="003865F3" w:rsidRDefault="00070F54" w:rsidP="00A81223">
      <w:pPr>
        <w:pStyle w:val="Heading2"/>
        <w:numPr>
          <w:ilvl w:val="0"/>
          <w:numId w:val="8"/>
        </w:numPr>
        <w:rPr>
          <w:lang w:val="fr-FR"/>
        </w:rPr>
      </w:pPr>
      <w:r w:rsidRPr="00070F54">
        <w:rPr>
          <w:lang w:val="fr-FR"/>
        </w:rPr>
        <w:t>VIE PRIVÉE ET CONFIDENTIALITÉ</w:t>
      </w:r>
    </w:p>
    <w:p w14:paraId="031500BE" w14:textId="41B589FB" w:rsidR="002B6106" w:rsidRPr="003865F3" w:rsidRDefault="00070F54" w:rsidP="002B6106">
      <w:pPr>
        <w:rPr>
          <w:lang w:val="fr-FR"/>
        </w:rPr>
      </w:pPr>
      <w:r w:rsidRPr="00070F54">
        <w:rPr>
          <w:lang w:val="fr-FR"/>
        </w:rPr>
        <w:t xml:space="preserve">Les personnes consentent à participer à une enquête en partant du principe que les informations qu'elles partageront </w:t>
      </w:r>
      <w:r>
        <w:rPr>
          <w:lang w:val="fr-FR"/>
        </w:rPr>
        <w:t>pendant</w:t>
      </w:r>
      <w:r w:rsidRPr="00070F54">
        <w:rPr>
          <w:lang w:val="fr-FR"/>
        </w:rPr>
        <w:t xml:space="preserve"> l'entretien resteront confidentielles. Les violations accidentelles ou intentionnelles de la confidentialité </w:t>
      </w:r>
      <w:r w:rsidR="00A35DA2">
        <w:rPr>
          <w:lang w:val="fr-FR"/>
        </w:rPr>
        <w:t xml:space="preserve">portent atteinte à </w:t>
      </w:r>
      <w:r w:rsidRPr="00070F54">
        <w:rPr>
          <w:lang w:val="fr-FR"/>
        </w:rPr>
        <w:t xml:space="preserve">la confiance dans les enquêtes et les institutions qui les mènent et peuvent porter préjudice aux personnes interrogées. Le respect de la vie privée et </w:t>
      </w:r>
      <w:r w:rsidR="00A35DA2">
        <w:rPr>
          <w:lang w:val="fr-FR"/>
        </w:rPr>
        <w:t xml:space="preserve">de </w:t>
      </w:r>
      <w:r w:rsidRPr="00070F54">
        <w:rPr>
          <w:lang w:val="fr-FR"/>
        </w:rPr>
        <w:t xml:space="preserve">la confidentialité sont également essentiels à la qualité des données : les répondants sont susceptibles de </w:t>
      </w:r>
      <w:r w:rsidR="00A35DA2">
        <w:rPr>
          <w:lang w:val="fr-FR"/>
        </w:rPr>
        <w:t>parl</w:t>
      </w:r>
      <w:r w:rsidRPr="00070F54">
        <w:rPr>
          <w:lang w:val="fr-FR"/>
        </w:rPr>
        <w:t xml:space="preserve">er plus </w:t>
      </w:r>
      <w:r w:rsidR="00A35DA2">
        <w:rPr>
          <w:lang w:val="fr-FR"/>
        </w:rPr>
        <w:t>libr</w:t>
      </w:r>
      <w:r w:rsidRPr="00070F54">
        <w:rPr>
          <w:lang w:val="fr-FR"/>
        </w:rPr>
        <w:t xml:space="preserve">ement et de fournir des informations plus fiables si les entretiens sont menés dans le respect de la vie privée. Cette section identifie les risques potentiels liés à la confidentialité des informations fournies par les </w:t>
      </w:r>
      <w:r w:rsidR="00A35DA2">
        <w:rPr>
          <w:lang w:val="fr-FR"/>
        </w:rPr>
        <w:t>répondants</w:t>
      </w:r>
      <w:r w:rsidRPr="00070F54">
        <w:rPr>
          <w:lang w:val="fr-FR"/>
        </w:rPr>
        <w:t xml:space="preserve"> et au caractère privé des entretiens. Elle décrit également les stratégies possibles pour limiter l'identification des répondants </w:t>
      </w:r>
      <w:r w:rsidR="00A35DA2">
        <w:rPr>
          <w:lang w:val="fr-FR"/>
        </w:rPr>
        <w:t xml:space="preserve">dans les </w:t>
      </w:r>
      <w:proofErr w:type="spellStart"/>
      <w:r w:rsidR="00A35DA2">
        <w:rPr>
          <w:lang w:val="fr-FR"/>
        </w:rPr>
        <w:t>microdonnées</w:t>
      </w:r>
      <w:proofErr w:type="spellEnd"/>
      <w:r w:rsidR="00A35DA2">
        <w:rPr>
          <w:lang w:val="fr-FR"/>
        </w:rPr>
        <w:t xml:space="preserve"> avant la</w:t>
      </w:r>
      <w:r w:rsidRPr="00070F54">
        <w:rPr>
          <w:lang w:val="fr-FR"/>
        </w:rPr>
        <w:t xml:space="preserve"> publication</w:t>
      </w:r>
    </w:p>
    <w:tbl>
      <w:tblPr>
        <w:tblStyle w:val="TableGrid"/>
        <w:tblW w:w="9445" w:type="dxa"/>
        <w:tblInd w:w="0" w:type="dxa"/>
        <w:tblLook w:val="04A0" w:firstRow="1" w:lastRow="0" w:firstColumn="1" w:lastColumn="0" w:noHBand="0" w:noVBand="1"/>
      </w:tblPr>
      <w:tblGrid>
        <w:gridCol w:w="2245"/>
        <w:gridCol w:w="5760"/>
        <w:gridCol w:w="1440"/>
      </w:tblGrid>
      <w:tr w:rsidR="002B6106" w:rsidRPr="003865F3" w14:paraId="5BFF6FC6" w14:textId="77777777" w:rsidTr="00EC1EE9">
        <w:tc>
          <w:tcPr>
            <w:tcW w:w="2245" w:type="dxa"/>
            <w:shd w:val="clear" w:color="auto" w:fill="D9E2F3" w:themeFill="accent1" w:themeFillTint="33"/>
          </w:tcPr>
          <w:p w14:paraId="464C440D" w14:textId="7046E88B" w:rsidR="002B6106" w:rsidRPr="003865F3" w:rsidRDefault="002B6106" w:rsidP="00DE626E">
            <w:pPr>
              <w:rPr>
                <w:lang w:val="fr-FR"/>
              </w:rPr>
            </w:pPr>
            <w:r w:rsidRPr="003865F3">
              <w:rPr>
                <w:lang w:val="fr-FR"/>
              </w:rPr>
              <w:t>R</w:t>
            </w:r>
            <w:r w:rsidR="00A35DA2">
              <w:rPr>
                <w:lang w:val="fr-FR"/>
              </w:rPr>
              <w:t>isque</w:t>
            </w:r>
            <w:r w:rsidRPr="003865F3">
              <w:rPr>
                <w:lang w:val="fr-FR"/>
              </w:rPr>
              <w:t xml:space="preserve">s </w:t>
            </w:r>
          </w:p>
        </w:tc>
        <w:tc>
          <w:tcPr>
            <w:tcW w:w="5760" w:type="dxa"/>
            <w:shd w:val="clear" w:color="auto" w:fill="D9E2F3" w:themeFill="accent1" w:themeFillTint="33"/>
          </w:tcPr>
          <w:p w14:paraId="76DB7B3D" w14:textId="32A5CEE6" w:rsidR="002B6106" w:rsidRPr="003865F3" w:rsidRDefault="00A35DA2" w:rsidP="00DE626E">
            <w:pPr>
              <w:rPr>
                <w:lang w:val="fr-FR"/>
              </w:rPr>
            </w:pPr>
            <w:r w:rsidRPr="003865F3">
              <w:rPr>
                <w:lang w:val="fr-FR"/>
              </w:rPr>
              <w:t>Stratégies de gestion des risques</w:t>
            </w:r>
          </w:p>
        </w:tc>
        <w:tc>
          <w:tcPr>
            <w:tcW w:w="1440" w:type="dxa"/>
            <w:shd w:val="clear" w:color="auto" w:fill="D9E2F3" w:themeFill="accent1" w:themeFillTint="33"/>
          </w:tcPr>
          <w:p w14:paraId="5D13CF2A" w14:textId="11069459" w:rsidR="002B6106" w:rsidRPr="003865F3" w:rsidRDefault="00A35DA2" w:rsidP="00DE626E">
            <w:pPr>
              <w:rPr>
                <w:lang w:val="fr-FR"/>
              </w:rPr>
            </w:pPr>
            <w:r>
              <w:rPr>
                <w:lang w:val="fr-FR"/>
              </w:rPr>
              <w:t>Point f</w:t>
            </w:r>
            <w:r w:rsidR="002B6106" w:rsidRPr="003865F3">
              <w:rPr>
                <w:lang w:val="fr-FR"/>
              </w:rPr>
              <w:t xml:space="preserve">ocal </w:t>
            </w:r>
          </w:p>
        </w:tc>
      </w:tr>
      <w:tr w:rsidR="00EC1EE9" w:rsidRPr="00D84932" w14:paraId="08EFA22A" w14:textId="77777777" w:rsidTr="00EC1EE9">
        <w:trPr>
          <w:trHeight w:val="3888"/>
        </w:trPr>
        <w:tc>
          <w:tcPr>
            <w:tcW w:w="2245" w:type="dxa"/>
          </w:tcPr>
          <w:p w14:paraId="086BBF75" w14:textId="20AA8AFB" w:rsidR="00EC1EE9" w:rsidRPr="003865F3" w:rsidRDefault="00CE7C78" w:rsidP="00DE626E">
            <w:pPr>
              <w:rPr>
                <w:color w:val="FF0000"/>
                <w:lang w:val="fr-FR"/>
              </w:rPr>
            </w:pPr>
            <w:r>
              <w:rPr>
                <w:color w:val="FF0000"/>
                <w:lang w:val="fr-FR"/>
              </w:rPr>
              <w:t>La confidentialité durant l’entretien n’est pas possible.</w:t>
            </w:r>
          </w:p>
          <w:p w14:paraId="289CA4E7" w14:textId="77777777" w:rsidR="00EC1EE9" w:rsidRPr="003865F3" w:rsidRDefault="00EC1EE9" w:rsidP="00DE626E">
            <w:pPr>
              <w:rPr>
                <w:color w:val="FF0000"/>
                <w:lang w:val="fr-FR"/>
              </w:rPr>
            </w:pPr>
          </w:p>
          <w:p w14:paraId="128BDFEC" w14:textId="77777777" w:rsidR="00607F65" w:rsidRDefault="00607F65" w:rsidP="00DE626E">
            <w:pPr>
              <w:rPr>
                <w:color w:val="FF0000"/>
                <w:lang w:val="fr-FR"/>
              </w:rPr>
            </w:pPr>
            <w:r w:rsidRPr="00607F65">
              <w:rPr>
                <w:color w:val="FF0000"/>
                <w:lang w:val="fr-FR"/>
              </w:rPr>
              <w:t>Il n'est pas possible de garantir une confidentialité absolue pendant les parties très sensibles de l'entretien.</w:t>
            </w:r>
          </w:p>
          <w:p w14:paraId="662C5C4F" w14:textId="77777777" w:rsidR="00EC1EE9" w:rsidRPr="005F269E" w:rsidRDefault="00EC1EE9" w:rsidP="00DE626E">
            <w:pPr>
              <w:rPr>
                <w:color w:val="FF0000"/>
                <w:lang w:val="fr-FR"/>
              </w:rPr>
            </w:pPr>
          </w:p>
          <w:p w14:paraId="1665FEE6" w14:textId="7135B9A8" w:rsidR="00607F65" w:rsidRPr="00607F65" w:rsidRDefault="00EC1EE9" w:rsidP="00DE626E">
            <w:pPr>
              <w:rPr>
                <w:color w:val="FF0000"/>
                <w:lang w:val="fr-FR"/>
              </w:rPr>
            </w:pPr>
            <w:r w:rsidRPr="00607F65">
              <w:rPr>
                <w:color w:val="FF0000"/>
                <w:lang w:val="fr-FR"/>
              </w:rPr>
              <w:t>(Note</w:t>
            </w:r>
            <w:r w:rsidR="00607F65" w:rsidRPr="00607F65">
              <w:rPr>
                <w:color w:val="FF0000"/>
                <w:lang w:val="fr-FR"/>
              </w:rPr>
              <w:t xml:space="preserve"> </w:t>
            </w:r>
            <w:r w:rsidRPr="00607F65">
              <w:rPr>
                <w:color w:val="FF0000"/>
                <w:lang w:val="fr-FR"/>
              </w:rPr>
              <w:t xml:space="preserve">: </w:t>
            </w:r>
            <w:r w:rsidR="00607F65" w:rsidRPr="00607F65">
              <w:rPr>
                <w:color w:val="FF0000"/>
                <w:lang w:val="fr-FR"/>
              </w:rPr>
              <w:t>Le respect de la vie privée signifie qu'aucune personne âgée de 13 ans ou plus ne se trouve à proximité directe de la conversation ou ne peut l'entendre</w:t>
            </w:r>
            <w:r w:rsidR="002347F2">
              <w:rPr>
                <w:color w:val="FF0000"/>
                <w:lang w:val="fr-FR"/>
              </w:rPr>
              <w:t>)</w:t>
            </w:r>
          </w:p>
          <w:p w14:paraId="3CAB8CC4" w14:textId="77777777" w:rsidR="00EC1EE9" w:rsidRPr="005F269E" w:rsidRDefault="00EC1EE9" w:rsidP="00607F65">
            <w:pPr>
              <w:rPr>
                <w:color w:val="FF0000"/>
                <w:lang w:val="fr-FR"/>
              </w:rPr>
            </w:pPr>
          </w:p>
        </w:tc>
        <w:tc>
          <w:tcPr>
            <w:tcW w:w="5760" w:type="dxa"/>
            <w:shd w:val="clear" w:color="auto" w:fill="FFFFFF" w:themeFill="background1"/>
          </w:tcPr>
          <w:p w14:paraId="4259011A" w14:textId="3BD21BCC" w:rsidR="00607F65" w:rsidRPr="00607F65" w:rsidRDefault="00607F65" w:rsidP="00DE626E">
            <w:pPr>
              <w:pStyle w:val="ListParagraph"/>
              <w:numPr>
                <w:ilvl w:val="0"/>
                <w:numId w:val="12"/>
              </w:numPr>
              <w:rPr>
                <w:color w:val="FF0000"/>
                <w:lang w:val="fr-FR"/>
              </w:rPr>
            </w:pPr>
            <w:r w:rsidRPr="00607F65">
              <w:rPr>
                <w:color w:val="FF0000"/>
                <w:lang w:val="fr-FR"/>
              </w:rPr>
              <w:t xml:space="preserve">Les enquêteurs </w:t>
            </w:r>
            <w:r>
              <w:rPr>
                <w:color w:val="FF0000"/>
                <w:lang w:val="fr-FR"/>
              </w:rPr>
              <w:t xml:space="preserve">seront formés sur la manière de garantir </w:t>
            </w:r>
            <w:r w:rsidRPr="00607F65">
              <w:rPr>
                <w:color w:val="FF0000"/>
                <w:lang w:val="fr-FR"/>
              </w:rPr>
              <w:t xml:space="preserve">la confidentialité et de gérer les interruptions pendant les entretiens. </w:t>
            </w:r>
          </w:p>
          <w:p w14:paraId="31A16CEB" w14:textId="2EB13F1B" w:rsidR="00607F65" w:rsidRPr="00607F65" w:rsidRDefault="00607F65" w:rsidP="00DE626E">
            <w:pPr>
              <w:pStyle w:val="ListParagraph"/>
              <w:numPr>
                <w:ilvl w:val="0"/>
                <w:numId w:val="12"/>
              </w:numPr>
              <w:rPr>
                <w:color w:val="FF0000"/>
                <w:lang w:val="fr-FR"/>
              </w:rPr>
            </w:pPr>
            <w:r w:rsidRPr="00607F65">
              <w:rPr>
                <w:color w:val="FF0000"/>
                <w:lang w:val="fr-FR"/>
              </w:rPr>
              <w:t xml:space="preserve">Les enquêteurs expliqueront clairement aux </w:t>
            </w:r>
            <w:r>
              <w:rPr>
                <w:color w:val="FF0000"/>
                <w:lang w:val="fr-FR"/>
              </w:rPr>
              <w:t>répondants que pour men</w:t>
            </w:r>
            <w:r w:rsidRPr="00607F65">
              <w:rPr>
                <w:color w:val="FF0000"/>
                <w:lang w:val="fr-FR"/>
              </w:rPr>
              <w:t>er l'enquête, aucun autre membre du ménage ne doit être à portée de voix.</w:t>
            </w:r>
          </w:p>
          <w:p w14:paraId="0A46DBC4" w14:textId="140F14DA" w:rsidR="00607F65" w:rsidRPr="00607F65" w:rsidRDefault="00607F65" w:rsidP="00DE626E">
            <w:pPr>
              <w:pStyle w:val="ListParagraph"/>
              <w:numPr>
                <w:ilvl w:val="0"/>
                <w:numId w:val="12"/>
              </w:numPr>
              <w:rPr>
                <w:color w:val="FF0000"/>
                <w:lang w:val="fr-FR"/>
              </w:rPr>
            </w:pPr>
            <w:r w:rsidRPr="00607F65">
              <w:rPr>
                <w:color w:val="FF0000"/>
                <w:lang w:val="fr-FR"/>
              </w:rPr>
              <w:t xml:space="preserve">S'ils interrogent des enfants, les enquêteurs demanderont </w:t>
            </w:r>
            <w:r>
              <w:rPr>
                <w:color w:val="FF0000"/>
                <w:lang w:val="fr-FR"/>
              </w:rPr>
              <w:t xml:space="preserve">à </w:t>
            </w:r>
            <w:r w:rsidRPr="00607F65">
              <w:rPr>
                <w:color w:val="FF0000"/>
                <w:lang w:val="fr-FR"/>
              </w:rPr>
              <w:t>trouver un endroit dans la maison où ils pourront être vus par un adulte connu de l'enfant, mais pas entendus.</w:t>
            </w:r>
          </w:p>
          <w:p w14:paraId="4D9C7262" w14:textId="51681E9A" w:rsidR="00EC1EE9" w:rsidRPr="00607F65" w:rsidRDefault="00607F65" w:rsidP="00607F65">
            <w:pPr>
              <w:pStyle w:val="ListParagraph"/>
              <w:numPr>
                <w:ilvl w:val="0"/>
                <w:numId w:val="12"/>
              </w:numPr>
              <w:rPr>
                <w:color w:val="FF0000"/>
                <w:lang w:val="fr-FR"/>
              </w:rPr>
            </w:pPr>
            <w:r w:rsidRPr="00607F65">
              <w:rPr>
                <w:color w:val="FF0000"/>
                <w:lang w:val="fr-FR"/>
              </w:rPr>
              <w:t xml:space="preserve">Avant de poser des questions sur des sujets très sensibles comme (insérer des exemples de sujets très sensibles couverts par l'enquête, par exemple le comportement sexuel, le VIH/SIDA, la violence domestique ou la santé mentale), les enquêteurs mentionneront la nature des questions et demanderont aux </w:t>
            </w:r>
            <w:r>
              <w:rPr>
                <w:color w:val="FF0000"/>
                <w:lang w:val="fr-FR"/>
              </w:rPr>
              <w:t>répondants</w:t>
            </w:r>
            <w:r w:rsidRPr="00607F65">
              <w:rPr>
                <w:color w:val="FF0000"/>
                <w:lang w:val="fr-FR"/>
              </w:rPr>
              <w:t xml:space="preserve"> si elles </w:t>
            </w:r>
            <w:r>
              <w:rPr>
                <w:color w:val="FF0000"/>
                <w:lang w:val="fr-FR"/>
              </w:rPr>
              <w:t>sont d’accord pour continuer</w:t>
            </w:r>
            <w:r w:rsidRPr="00607F65">
              <w:rPr>
                <w:color w:val="FF0000"/>
                <w:lang w:val="fr-FR"/>
              </w:rPr>
              <w:t xml:space="preserve"> l'entretien. S'il n'est pas possible de garantir une confidentialité absolue lors des entretiens sur des sujets très sensibles, l'enquêteur ne poursuivra pas l'entretien et demandera au répondant de reporter l'entretien.</w:t>
            </w:r>
          </w:p>
        </w:tc>
        <w:tc>
          <w:tcPr>
            <w:tcW w:w="1440" w:type="dxa"/>
          </w:tcPr>
          <w:p w14:paraId="05DCF6AB" w14:textId="78DB25B6" w:rsidR="00EC1EE9" w:rsidRPr="003865F3" w:rsidRDefault="00607F65" w:rsidP="00DE626E">
            <w:pPr>
              <w:rPr>
                <w:color w:val="FF0000"/>
                <w:lang w:val="fr-FR"/>
              </w:rPr>
            </w:pPr>
            <w:r w:rsidRPr="009807F4">
              <w:rPr>
                <w:color w:val="FF0000"/>
                <w:lang w:val="fr-FR"/>
              </w:rPr>
              <w:t>Coordinateur national MICS</w:t>
            </w:r>
            <w:r>
              <w:rPr>
                <w:color w:val="FF0000"/>
                <w:lang w:val="fr-FR"/>
              </w:rPr>
              <w:t>/</w:t>
            </w:r>
            <w:r w:rsidRPr="009807F4">
              <w:rPr>
                <w:color w:val="FF0000"/>
                <w:lang w:val="fr-FR"/>
              </w:rPr>
              <w:t>Facilitateurs de formation/</w:t>
            </w:r>
            <w:r w:rsidRPr="003865F3">
              <w:rPr>
                <w:color w:val="FF0000"/>
                <w:lang w:val="fr-FR"/>
              </w:rPr>
              <w:t>Enquêteurs</w:t>
            </w:r>
          </w:p>
        </w:tc>
      </w:tr>
      <w:tr w:rsidR="002B6106" w:rsidRPr="00D84932" w14:paraId="00CD8D1A" w14:textId="77777777" w:rsidTr="00EC1EE9">
        <w:tc>
          <w:tcPr>
            <w:tcW w:w="2245" w:type="dxa"/>
            <w:shd w:val="clear" w:color="auto" w:fill="auto"/>
          </w:tcPr>
          <w:p w14:paraId="6A8C6623" w14:textId="17596E83" w:rsidR="002B6106" w:rsidRPr="003865F3" w:rsidRDefault="00607F65" w:rsidP="002B6106">
            <w:pPr>
              <w:rPr>
                <w:color w:val="FF0000"/>
                <w:lang w:val="fr-FR"/>
              </w:rPr>
            </w:pPr>
            <w:r w:rsidRPr="00607F65">
              <w:rPr>
                <w:color w:val="FF0000"/>
                <w:lang w:val="fr-FR"/>
              </w:rPr>
              <w:t>Violation de la confidentialité</w:t>
            </w:r>
          </w:p>
          <w:p w14:paraId="6A0161C9" w14:textId="77777777" w:rsidR="00A22C7A" w:rsidRPr="003865F3" w:rsidRDefault="00A22C7A" w:rsidP="002B6106">
            <w:pPr>
              <w:rPr>
                <w:color w:val="FF0000"/>
                <w:lang w:val="fr-FR"/>
              </w:rPr>
            </w:pPr>
          </w:p>
          <w:p w14:paraId="7C17CA63" w14:textId="77777777" w:rsidR="00A22C7A" w:rsidRPr="003865F3" w:rsidRDefault="00A22C7A" w:rsidP="002B6106">
            <w:pPr>
              <w:rPr>
                <w:color w:val="FF0000"/>
                <w:lang w:val="fr-FR"/>
              </w:rPr>
            </w:pPr>
          </w:p>
          <w:p w14:paraId="3A64492A" w14:textId="77777777" w:rsidR="00A22C7A" w:rsidRPr="003865F3" w:rsidRDefault="00A22C7A" w:rsidP="002B6106">
            <w:pPr>
              <w:rPr>
                <w:color w:val="FF0000"/>
                <w:lang w:val="fr-FR"/>
              </w:rPr>
            </w:pPr>
          </w:p>
          <w:p w14:paraId="18C29345" w14:textId="6FB75E3A" w:rsidR="00607F65" w:rsidRDefault="00607F65" w:rsidP="00A26212">
            <w:pPr>
              <w:rPr>
                <w:color w:val="FF0000"/>
                <w:lang w:val="fr-FR"/>
              </w:rPr>
            </w:pPr>
            <w:r w:rsidRPr="00607F65">
              <w:rPr>
                <w:color w:val="FF0000"/>
                <w:lang w:val="fr-FR"/>
              </w:rPr>
              <w:t xml:space="preserve">Les copies </w:t>
            </w:r>
            <w:r>
              <w:rPr>
                <w:color w:val="FF0000"/>
                <w:lang w:val="fr-FR"/>
              </w:rPr>
              <w:t>imprimées</w:t>
            </w:r>
            <w:r w:rsidRPr="00607F65">
              <w:rPr>
                <w:color w:val="FF0000"/>
                <w:lang w:val="fr-FR"/>
              </w:rPr>
              <w:t xml:space="preserve"> des questionnaires ou des fichiers de données comprenant les identifiants des individus et des ménages sont </w:t>
            </w:r>
            <w:r>
              <w:rPr>
                <w:color w:val="FF0000"/>
                <w:lang w:val="fr-FR"/>
              </w:rPr>
              <w:t>perdues</w:t>
            </w:r>
            <w:r w:rsidRPr="00607F65">
              <w:rPr>
                <w:color w:val="FF0000"/>
                <w:lang w:val="fr-FR"/>
              </w:rPr>
              <w:t xml:space="preserve"> ou consultées par des personnes extérieures à l'équipe d'enquête.</w:t>
            </w:r>
          </w:p>
          <w:p w14:paraId="56EA7352" w14:textId="77777777" w:rsidR="00626BAC" w:rsidRPr="005F269E" w:rsidRDefault="00626BAC" w:rsidP="00A26212">
            <w:pPr>
              <w:rPr>
                <w:color w:val="FF0000"/>
                <w:lang w:val="fr-FR"/>
              </w:rPr>
            </w:pPr>
          </w:p>
          <w:p w14:paraId="716FDFE2" w14:textId="73BF0E8C" w:rsidR="00626BAC" w:rsidRPr="00607F65" w:rsidRDefault="00607F65" w:rsidP="00A26212">
            <w:pPr>
              <w:rPr>
                <w:color w:val="FF0000"/>
                <w:lang w:val="fr-FR"/>
              </w:rPr>
            </w:pPr>
            <w:r w:rsidRPr="00607F65">
              <w:rPr>
                <w:color w:val="FF0000"/>
                <w:lang w:val="fr-FR"/>
              </w:rPr>
              <w:t xml:space="preserve">Les </w:t>
            </w:r>
            <w:proofErr w:type="spellStart"/>
            <w:r w:rsidRPr="00607F65">
              <w:rPr>
                <w:color w:val="FF0000"/>
                <w:lang w:val="fr-FR"/>
              </w:rPr>
              <w:t>microdonnées</w:t>
            </w:r>
            <w:proofErr w:type="spellEnd"/>
            <w:r w:rsidRPr="00607F65">
              <w:rPr>
                <w:color w:val="FF0000"/>
                <w:lang w:val="fr-FR"/>
              </w:rPr>
              <w:t xml:space="preserve"> ne sont pas correctement rendues anonymes avant leur diffusion publique.</w:t>
            </w:r>
          </w:p>
        </w:tc>
        <w:tc>
          <w:tcPr>
            <w:tcW w:w="5760" w:type="dxa"/>
            <w:shd w:val="clear" w:color="auto" w:fill="auto"/>
          </w:tcPr>
          <w:p w14:paraId="1DFA326B" w14:textId="5FCE295B" w:rsidR="00607F65" w:rsidRDefault="00607F65" w:rsidP="00EC1EE9">
            <w:pPr>
              <w:pStyle w:val="ListParagraph"/>
              <w:numPr>
                <w:ilvl w:val="0"/>
                <w:numId w:val="15"/>
              </w:numPr>
              <w:ind w:left="360"/>
              <w:rPr>
                <w:color w:val="FF0000"/>
                <w:lang w:val="fr-FR"/>
              </w:rPr>
            </w:pPr>
            <w:r w:rsidRPr="00607F65">
              <w:rPr>
                <w:color w:val="FF0000"/>
                <w:lang w:val="fr-FR"/>
              </w:rPr>
              <w:lastRenderedPageBreak/>
              <w:t xml:space="preserve">Les enquêteurs seront formés au respect de la vie privée et de la confidentialité, y compris au fait de ne </w:t>
            </w:r>
            <w:r>
              <w:rPr>
                <w:color w:val="FF0000"/>
                <w:lang w:val="fr-FR"/>
              </w:rPr>
              <w:t>divulgu</w:t>
            </w:r>
            <w:r w:rsidRPr="00607F65">
              <w:rPr>
                <w:color w:val="FF0000"/>
                <w:lang w:val="fr-FR"/>
              </w:rPr>
              <w:t xml:space="preserve">er aucune </w:t>
            </w:r>
            <w:r w:rsidRPr="00607F65">
              <w:rPr>
                <w:color w:val="FF0000"/>
                <w:lang w:val="fr-FR"/>
              </w:rPr>
              <w:lastRenderedPageBreak/>
              <w:t xml:space="preserve">information communiquée par les </w:t>
            </w:r>
            <w:r>
              <w:rPr>
                <w:color w:val="FF0000"/>
                <w:lang w:val="fr-FR"/>
              </w:rPr>
              <w:t>répondants</w:t>
            </w:r>
            <w:r w:rsidRPr="00607F65">
              <w:rPr>
                <w:color w:val="FF0000"/>
                <w:lang w:val="fr-FR"/>
              </w:rPr>
              <w:t xml:space="preserve"> au cours des entretiens avec quiconque en dehors de l'équipe d'enquête (voir l'exception sur le signalement obligatoire des abus dans la section 1).</w:t>
            </w:r>
          </w:p>
          <w:p w14:paraId="2354EE55" w14:textId="08B029D3" w:rsidR="004C1D46" w:rsidRPr="005F269E" w:rsidRDefault="004C1D46" w:rsidP="00EC1EE9">
            <w:pPr>
              <w:jc w:val="both"/>
              <w:rPr>
                <w:color w:val="FF0000"/>
                <w:lang w:val="fr-FR"/>
              </w:rPr>
            </w:pPr>
          </w:p>
          <w:p w14:paraId="69412B23" w14:textId="0420D35B" w:rsidR="00626BAC" w:rsidRPr="005F269E" w:rsidRDefault="00626BAC" w:rsidP="00EC1EE9">
            <w:pPr>
              <w:jc w:val="both"/>
              <w:rPr>
                <w:color w:val="FF0000"/>
                <w:lang w:val="fr-FR"/>
              </w:rPr>
            </w:pPr>
          </w:p>
          <w:p w14:paraId="33D9FC9A" w14:textId="77777777" w:rsidR="00626BAC" w:rsidRPr="005F269E" w:rsidRDefault="00626BAC" w:rsidP="00EC1EE9">
            <w:pPr>
              <w:jc w:val="both"/>
              <w:rPr>
                <w:color w:val="FF0000"/>
                <w:lang w:val="fr-FR"/>
              </w:rPr>
            </w:pPr>
          </w:p>
          <w:p w14:paraId="320F0967" w14:textId="7C766E00" w:rsidR="00F75CAC" w:rsidRDefault="00F75CAC" w:rsidP="00EC1EE9">
            <w:pPr>
              <w:pStyle w:val="ListParagraph"/>
              <w:numPr>
                <w:ilvl w:val="0"/>
                <w:numId w:val="15"/>
              </w:numPr>
              <w:ind w:left="360"/>
              <w:jc w:val="both"/>
              <w:rPr>
                <w:color w:val="FF0000"/>
                <w:lang w:val="fr-FR"/>
              </w:rPr>
            </w:pPr>
            <w:r w:rsidRPr="00F75CAC">
              <w:rPr>
                <w:color w:val="FF0000"/>
                <w:lang w:val="fr-FR"/>
              </w:rPr>
              <w:t xml:space="preserve">Les copies </w:t>
            </w:r>
            <w:r>
              <w:rPr>
                <w:color w:val="FF0000"/>
                <w:lang w:val="fr-FR"/>
              </w:rPr>
              <w:t>imprimées des questionnaires complétés</w:t>
            </w:r>
            <w:r w:rsidRPr="00F75CAC">
              <w:rPr>
                <w:color w:val="FF0000"/>
                <w:lang w:val="fr-FR"/>
              </w:rPr>
              <w:t xml:space="preserve"> seront conservées dans un endroit sûr, dans une armoire fermée à clé, et détruites au bout de trois ans.</w:t>
            </w:r>
          </w:p>
          <w:p w14:paraId="0B094FF8" w14:textId="352045C3" w:rsidR="007275E8" w:rsidRDefault="007275E8" w:rsidP="00626BAC">
            <w:pPr>
              <w:pStyle w:val="ListParagraph"/>
              <w:numPr>
                <w:ilvl w:val="0"/>
                <w:numId w:val="15"/>
              </w:numPr>
              <w:ind w:left="360"/>
              <w:rPr>
                <w:color w:val="FF0000"/>
                <w:lang w:val="fr-FR"/>
              </w:rPr>
            </w:pPr>
            <w:r w:rsidRPr="007275E8">
              <w:rPr>
                <w:color w:val="FF0000"/>
                <w:lang w:val="fr-FR"/>
              </w:rPr>
              <w:t xml:space="preserve">Les fichiers de données contenant des identifiants personnels seront conservés dans </w:t>
            </w:r>
            <w:r w:rsidR="002347F2">
              <w:rPr>
                <w:color w:val="FF0000"/>
                <w:lang w:val="fr-FR"/>
              </w:rPr>
              <w:t xml:space="preserve">des </w:t>
            </w:r>
            <w:r w:rsidRPr="007275E8">
              <w:rPr>
                <w:color w:val="FF0000"/>
                <w:lang w:val="fr-FR"/>
              </w:rPr>
              <w:t>ordinateur</w:t>
            </w:r>
            <w:r w:rsidR="002347F2">
              <w:rPr>
                <w:color w:val="FF0000"/>
                <w:lang w:val="fr-FR"/>
              </w:rPr>
              <w:t>s</w:t>
            </w:r>
            <w:r w:rsidRPr="007275E8">
              <w:rPr>
                <w:color w:val="FF0000"/>
                <w:lang w:val="fr-FR"/>
              </w:rPr>
              <w:t xml:space="preserve"> protégé</w:t>
            </w:r>
            <w:r w:rsidR="002347F2">
              <w:rPr>
                <w:color w:val="FF0000"/>
                <w:lang w:val="fr-FR"/>
              </w:rPr>
              <w:t>s</w:t>
            </w:r>
            <w:r w:rsidRPr="007275E8">
              <w:rPr>
                <w:color w:val="FF0000"/>
                <w:lang w:val="fr-FR"/>
              </w:rPr>
              <w:t xml:space="preserve"> par un mot de passe.</w:t>
            </w:r>
          </w:p>
          <w:p w14:paraId="305A718B" w14:textId="1493FBCA" w:rsidR="009E4814" w:rsidRPr="007275E8" w:rsidRDefault="007275E8" w:rsidP="00EC1EE9">
            <w:pPr>
              <w:pStyle w:val="ListParagraph"/>
              <w:numPr>
                <w:ilvl w:val="0"/>
                <w:numId w:val="15"/>
              </w:numPr>
              <w:ind w:left="360"/>
              <w:rPr>
                <w:color w:val="FF0000"/>
                <w:lang w:val="fr-FR"/>
              </w:rPr>
            </w:pPr>
            <w:r w:rsidRPr="007275E8">
              <w:rPr>
                <w:color w:val="FF0000"/>
                <w:lang w:val="fr-FR"/>
              </w:rPr>
              <w:t xml:space="preserve"> </w:t>
            </w:r>
            <w:r w:rsidR="006A1F1B" w:rsidRPr="007275E8">
              <w:rPr>
                <w:color w:val="FF0000"/>
                <w:lang w:val="fr-FR"/>
              </w:rPr>
              <w:t>(</w:t>
            </w:r>
            <w:r w:rsidRPr="007275E8">
              <w:rPr>
                <w:color w:val="FF0000"/>
                <w:lang w:val="fr-FR"/>
              </w:rPr>
              <w:t>Référence à l'article II du protocole d'accord régissan</w:t>
            </w:r>
            <w:r>
              <w:rPr>
                <w:color w:val="FF0000"/>
                <w:lang w:val="fr-FR"/>
              </w:rPr>
              <w:t>t l'anonymisation des données ainsi que</w:t>
            </w:r>
            <w:r w:rsidRPr="007275E8">
              <w:rPr>
                <w:color w:val="FF0000"/>
                <w:lang w:val="fr-FR"/>
              </w:rPr>
              <w:t xml:space="preserve"> le traitement et le partage des </w:t>
            </w:r>
            <w:proofErr w:type="spellStart"/>
            <w:r w:rsidRPr="007275E8">
              <w:rPr>
                <w:color w:val="FF0000"/>
                <w:lang w:val="fr-FR"/>
              </w:rPr>
              <w:t>microdonnées</w:t>
            </w:r>
            <w:proofErr w:type="spellEnd"/>
            <w:r w:rsidRPr="007275E8">
              <w:rPr>
                <w:color w:val="FF0000"/>
                <w:lang w:val="fr-FR"/>
              </w:rPr>
              <w:t>)</w:t>
            </w:r>
          </w:p>
        </w:tc>
        <w:tc>
          <w:tcPr>
            <w:tcW w:w="1440" w:type="dxa"/>
            <w:shd w:val="clear" w:color="auto" w:fill="auto"/>
          </w:tcPr>
          <w:p w14:paraId="18C2B605" w14:textId="37035C12" w:rsidR="002B6106" w:rsidRPr="00607F65" w:rsidRDefault="00607F65" w:rsidP="002B6106">
            <w:pPr>
              <w:rPr>
                <w:color w:val="FF0000"/>
                <w:lang w:val="fr-FR"/>
              </w:rPr>
            </w:pPr>
            <w:r w:rsidRPr="00607F65">
              <w:rPr>
                <w:color w:val="FF0000"/>
                <w:lang w:val="fr-FR"/>
              </w:rPr>
              <w:lastRenderedPageBreak/>
              <w:t xml:space="preserve">Coordinateur national MICS </w:t>
            </w:r>
            <w:r w:rsidRPr="00607F65">
              <w:rPr>
                <w:color w:val="FF0000"/>
                <w:lang w:val="fr-FR"/>
              </w:rPr>
              <w:lastRenderedPageBreak/>
              <w:t>/Comité de pilotage</w:t>
            </w:r>
            <w:r w:rsidR="006A1F1B" w:rsidRPr="00607F65">
              <w:rPr>
                <w:color w:val="FF0000"/>
                <w:lang w:val="fr-FR"/>
              </w:rPr>
              <w:t>/</w:t>
            </w:r>
            <w:r w:rsidRPr="00607F65">
              <w:rPr>
                <w:color w:val="FF0000"/>
                <w:lang w:val="fr-FR"/>
              </w:rPr>
              <w:t>Facilitateurs de formation</w:t>
            </w:r>
            <w:r w:rsidR="00292963" w:rsidRPr="00607F65">
              <w:rPr>
                <w:color w:val="FF0000"/>
                <w:lang w:val="fr-FR"/>
              </w:rPr>
              <w:t>/</w:t>
            </w:r>
            <w:r>
              <w:rPr>
                <w:color w:val="FF0000"/>
                <w:lang w:val="fr-FR"/>
              </w:rPr>
              <w:t>Enquêteurs</w:t>
            </w:r>
          </w:p>
        </w:tc>
      </w:tr>
    </w:tbl>
    <w:p w14:paraId="73C887BD" w14:textId="624181E3" w:rsidR="00A81223" w:rsidRPr="00607F65" w:rsidRDefault="00A81223" w:rsidP="00A81223">
      <w:pPr>
        <w:rPr>
          <w:lang w:val="fr-FR"/>
        </w:rPr>
      </w:pPr>
    </w:p>
    <w:p w14:paraId="0620DF59" w14:textId="779779BA" w:rsidR="00A81223" w:rsidRPr="003865F3" w:rsidRDefault="00491165" w:rsidP="00A81223">
      <w:pPr>
        <w:pStyle w:val="Heading2"/>
        <w:numPr>
          <w:ilvl w:val="0"/>
          <w:numId w:val="8"/>
        </w:numPr>
        <w:rPr>
          <w:lang w:val="fr-FR"/>
        </w:rPr>
      </w:pPr>
      <w:r w:rsidRPr="00491165">
        <w:rPr>
          <w:lang w:val="fr-FR"/>
        </w:rPr>
        <w:t>GESTION DES PLAINTES ET DES PRÉOCCUPATIONS DES PARTICIPANTS</w:t>
      </w:r>
    </w:p>
    <w:p w14:paraId="39DFF71B" w14:textId="104E3CFD" w:rsidR="003F79D4" w:rsidRPr="006929FD" w:rsidRDefault="006929FD" w:rsidP="00A81223">
      <w:pPr>
        <w:rPr>
          <w:lang w:val="fr-FR"/>
        </w:rPr>
      </w:pPr>
      <w:r w:rsidRPr="006929FD">
        <w:rPr>
          <w:lang w:val="fr-FR"/>
        </w:rPr>
        <w:t xml:space="preserve">Cette section identifie les préoccupations anticipées par les répondants et définit des protocoles pour les </w:t>
      </w:r>
      <w:r>
        <w:rPr>
          <w:lang w:val="fr-FR"/>
        </w:rPr>
        <w:t>résoudre</w:t>
      </w:r>
      <w:r w:rsidRPr="006929FD">
        <w:rPr>
          <w:lang w:val="fr-FR"/>
        </w:rPr>
        <w:t>.</w:t>
      </w:r>
    </w:p>
    <w:tbl>
      <w:tblPr>
        <w:tblStyle w:val="TableGrid"/>
        <w:tblW w:w="9355" w:type="dxa"/>
        <w:tblInd w:w="0" w:type="dxa"/>
        <w:tblLook w:val="04A0" w:firstRow="1" w:lastRow="0" w:firstColumn="1" w:lastColumn="0" w:noHBand="0" w:noVBand="1"/>
      </w:tblPr>
      <w:tblGrid>
        <w:gridCol w:w="2245"/>
        <w:gridCol w:w="5580"/>
        <w:gridCol w:w="1530"/>
      </w:tblGrid>
      <w:tr w:rsidR="003F79D4" w:rsidRPr="003865F3" w14:paraId="2445B17B" w14:textId="77777777" w:rsidTr="003F79D4">
        <w:tc>
          <w:tcPr>
            <w:tcW w:w="2245" w:type="dxa"/>
            <w:shd w:val="clear" w:color="auto" w:fill="D9E2F3" w:themeFill="accent1" w:themeFillTint="33"/>
          </w:tcPr>
          <w:p w14:paraId="4D799B6C" w14:textId="2EAAE42D" w:rsidR="003F79D4" w:rsidRPr="003865F3" w:rsidRDefault="006929FD" w:rsidP="00E07E24">
            <w:pPr>
              <w:keepNext/>
              <w:keepLines/>
              <w:rPr>
                <w:lang w:val="fr-FR"/>
              </w:rPr>
            </w:pPr>
            <w:r>
              <w:rPr>
                <w:lang w:val="fr-FR"/>
              </w:rPr>
              <w:t>Risque</w:t>
            </w:r>
            <w:r w:rsidR="003F79D4" w:rsidRPr="003865F3">
              <w:rPr>
                <w:lang w:val="fr-FR"/>
              </w:rPr>
              <w:t xml:space="preserve">s </w:t>
            </w:r>
          </w:p>
        </w:tc>
        <w:tc>
          <w:tcPr>
            <w:tcW w:w="5580" w:type="dxa"/>
            <w:shd w:val="clear" w:color="auto" w:fill="D9E2F3" w:themeFill="accent1" w:themeFillTint="33"/>
          </w:tcPr>
          <w:p w14:paraId="4D4C58F9" w14:textId="625303B5" w:rsidR="003F79D4" w:rsidRPr="003865F3" w:rsidRDefault="006929FD" w:rsidP="00E07E24">
            <w:pPr>
              <w:keepNext/>
              <w:keepLines/>
              <w:rPr>
                <w:lang w:val="fr-FR"/>
              </w:rPr>
            </w:pPr>
            <w:r w:rsidRPr="003865F3">
              <w:rPr>
                <w:lang w:val="fr-FR"/>
              </w:rPr>
              <w:t>Stratégies de gestion des risques</w:t>
            </w:r>
          </w:p>
        </w:tc>
        <w:tc>
          <w:tcPr>
            <w:tcW w:w="1530" w:type="dxa"/>
            <w:shd w:val="clear" w:color="auto" w:fill="D9E2F3" w:themeFill="accent1" w:themeFillTint="33"/>
          </w:tcPr>
          <w:p w14:paraId="04FE2107" w14:textId="72CD1BFD" w:rsidR="003F79D4" w:rsidRPr="003865F3" w:rsidRDefault="006929FD" w:rsidP="00E07E24">
            <w:pPr>
              <w:keepNext/>
              <w:keepLines/>
              <w:rPr>
                <w:lang w:val="fr-FR"/>
              </w:rPr>
            </w:pPr>
            <w:r>
              <w:rPr>
                <w:lang w:val="fr-FR"/>
              </w:rPr>
              <w:t>P</w:t>
            </w:r>
            <w:r w:rsidR="003F79D4" w:rsidRPr="003865F3">
              <w:rPr>
                <w:lang w:val="fr-FR"/>
              </w:rPr>
              <w:t>oint</w:t>
            </w:r>
            <w:r>
              <w:rPr>
                <w:lang w:val="fr-FR"/>
              </w:rPr>
              <w:t xml:space="preserve"> focal</w:t>
            </w:r>
          </w:p>
        </w:tc>
      </w:tr>
      <w:tr w:rsidR="008B6F3B" w:rsidRPr="00D84932" w14:paraId="391FC707" w14:textId="77777777" w:rsidTr="003F79D4">
        <w:tc>
          <w:tcPr>
            <w:tcW w:w="2245" w:type="dxa"/>
          </w:tcPr>
          <w:p w14:paraId="3CD8CC0F" w14:textId="1F1DA558" w:rsidR="003F79D4" w:rsidRPr="003865F3" w:rsidRDefault="006929FD" w:rsidP="00E07E24">
            <w:pPr>
              <w:keepNext/>
              <w:keepLines/>
              <w:rPr>
                <w:color w:val="FF0000"/>
                <w:lang w:val="fr-FR"/>
              </w:rPr>
            </w:pPr>
            <w:r w:rsidRPr="006929FD">
              <w:rPr>
                <w:color w:val="FF0000"/>
                <w:lang w:val="fr-FR"/>
              </w:rPr>
              <w:t>Préoccupations ou plaintes des répondants à l'enquête ou des communautés</w:t>
            </w:r>
          </w:p>
        </w:tc>
        <w:tc>
          <w:tcPr>
            <w:tcW w:w="5580" w:type="dxa"/>
          </w:tcPr>
          <w:p w14:paraId="3C6C5E31" w14:textId="446E8A6D" w:rsidR="006929FD" w:rsidRDefault="006929FD" w:rsidP="00E07E24">
            <w:pPr>
              <w:pStyle w:val="ListParagraph"/>
              <w:keepNext/>
              <w:keepLines/>
              <w:numPr>
                <w:ilvl w:val="0"/>
                <w:numId w:val="16"/>
              </w:numPr>
              <w:rPr>
                <w:color w:val="FF0000"/>
                <w:lang w:val="fr-FR"/>
              </w:rPr>
            </w:pPr>
            <w:r w:rsidRPr="006929FD">
              <w:rPr>
                <w:color w:val="FF0000"/>
                <w:lang w:val="fr-FR"/>
              </w:rPr>
              <w:t xml:space="preserve">Les enquêteurs seront formés pour répondre aux préoccupations et aux plaintes </w:t>
            </w:r>
            <w:r>
              <w:rPr>
                <w:color w:val="FF0000"/>
                <w:lang w:val="fr-FR"/>
              </w:rPr>
              <w:t>les plus courantes.</w:t>
            </w:r>
          </w:p>
          <w:p w14:paraId="02DF14B7" w14:textId="60E1E1AC" w:rsidR="006929FD" w:rsidRPr="006929FD" w:rsidRDefault="006929FD" w:rsidP="00E07E24">
            <w:pPr>
              <w:pStyle w:val="ListParagraph"/>
              <w:keepNext/>
              <w:keepLines/>
              <w:numPr>
                <w:ilvl w:val="0"/>
                <w:numId w:val="16"/>
              </w:numPr>
              <w:rPr>
                <w:color w:val="FF0000"/>
                <w:lang w:val="fr-FR"/>
              </w:rPr>
            </w:pPr>
            <w:r w:rsidRPr="006929FD">
              <w:rPr>
                <w:color w:val="FF0000"/>
                <w:lang w:val="fr-FR"/>
              </w:rPr>
              <w:t xml:space="preserve">Un point </w:t>
            </w:r>
            <w:r>
              <w:rPr>
                <w:color w:val="FF0000"/>
                <w:lang w:val="fr-FR"/>
              </w:rPr>
              <w:t>focal</w:t>
            </w:r>
            <w:r w:rsidRPr="006929FD">
              <w:rPr>
                <w:color w:val="FF0000"/>
                <w:lang w:val="fr-FR"/>
              </w:rPr>
              <w:t xml:space="preserve"> pour les plaintes sera désigné </w:t>
            </w:r>
            <w:r>
              <w:rPr>
                <w:color w:val="FF0000"/>
                <w:lang w:val="fr-FR"/>
              </w:rPr>
              <w:t>afin d’assurer la liaison avec les</w:t>
            </w:r>
            <w:r w:rsidRPr="006929FD">
              <w:rPr>
                <w:color w:val="FF0000"/>
                <w:lang w:val="fr-FR"/>
              </w:rPr>
              <w:t xml:space="preserve"> équipes sur le terrain et </w:t>
            </w:r>
            <w:r>
              <w:rPr>
                <w:color w:val="FF0000"/>
                <w:lang w:val="fr-FR"/>
              </w:rPr>
              <w:t xml:space="preserve">de </w:t>
            </w:r>
            <w:r w:rsidRPr="006929FD">
              <w:rPr>
                <w:color w:val="FF0000"/>
                <w:lang w:val="fr-FR"/>
              </w:rPr>
              <w:t>déterminer l'approche à adopter pour répondre aux préoccupations.</w:t>
            </w:r>
          </w:p>
          <w:p w14:paraId="739FF804" w14:textId="320276B9" w:rsidR="003F79D4" w:rsidRPr="006929FD" w:rsidRDefault="00D21063" w:rsidP="006929FD">
            <w:pPr>
              <w:pStyle w:val="ListParagraph"/>
              <w:keepNext/>
              <w:keepLines/>
              <w:numPr>
                <w:ilvl w:val="0"/>
                <w:numId w:val="16"/>
              </w:numPr>
              <w:rPr>
                <w:color w:val="FF0000"/>
                <w:lang w:val="fr-FR"/>
              </w:rPr>
            </w:pPr>
            <w:r>
              <w:rPr>
                <w:color w:val="FF0000"/>
                <w:lang w:val="fr-FR"/>
              </w:rPr>
              <w:t>L</w:t>
            </w:r>
            <w:r w:rsidR="006929FD" w:rsidRPr="006929FD">
              <w:rPr>
                <w:color w:val="FF0000"/>
                <w:lang w:val="fr-FR"/>
              </w:rPr>
              <w:t>e cas échéant</w:t>
            </w:r>
            <w:r>
              <w:rPr>
                <w:color w:val="FF0000"/>
                <w:lang w:val="fr-FR"/>
              </w:rPr>
              <w:t>, d</w:t>
            </w:r>
            <w:r w:rsidR="006929FD" w:rsidRPr="006929FD">
              <w:rPr>
                <w:color w:val="FF0000"/>
                <w:lang w:val="fr-FR"/>
              </w:rPr>
              <w:t>es i</w:t>
            </w:r>
            <w:r w:rsidR="008B6F3B" w:rsidRPr="006929FD">
              <w:rPr>
                <w:color w:val="FF0000"/>
                <w:lang w:val="fr-FR"/>
              </w:rPr>
              <w:t>nformation</w:t>
            </w:r>
            <w:r w:rsidR="006929FD" w:rsidRPr="006929FD">
              <w:rPr>
                <w:color w:val="FF0000"/>
                <w:lang w:val="fr-FR"/>
              </w:rPr>
              <w:t>s seront fournies</w:t>
            </w:r>
            <w:r w:rsidR="006929FD">
              <w:rPr>
                <w:color w:val="FF0000"/>
                <w:lang w:val="fr-FR"/>
              </w:rPr>
              <w:t xml:space="preserve"> aux participants et aux communautés en ce qui concerne les coordonnées du point focal des préoccupations et des plaintes. </w:t>
            </w:r>
          </w:p>
        </w:tc>
        <w:tc>
          <w:tcPr>
            <w:tcW w:w="1530" w:type="dxa"/>
          </w:tcPr>
          <w:p w14:paraId="5AFA9D6C" w14:textId="74FD4827" w:rsidR="003F79D4" w:rsidRPr="003865F3" w:rsidRDefault="006929FD" w:rsidP="00E07E24">
            <w:pPr>
              <w:keepNext/>
              <w:keepLines/>
              <w:rPr>
                <w:color w:val="FF0000"/>
                <w:lang w:val="fr-FR"/>
              </w:rPr>
            </w:pPr>
            <w:r>
              <w:rPr>
                <w:color w:val="FF0000"/>
                <w:lang w:val="fr-FR"/>
              </w:rPr>
              <w:t>Enquêteurs/</w:t>
            </w:r>
            <w:r w:rsidRPr="00607F65">
              <w:rPr>
                <w:color w:val="FF0000"/>
                <w:lang w:val="fr-FR"/>
              </w:rPr>
              <w:t xml:space="preserve"> Coordinateur national MICS</w:t>
            </w:r>
            <w:r>
              <w:rPr>
                <w:color w:val="FF0000"/>
                <w:lang w:val="fr-FR"/>
              </w:rPr>
              <w:t xml:space="preserve">/Point focal </w:t>
            </w:r>
            <w:r w:rsidR="00EE598B">
              <w:rPr>
                <w:color w:val="FF0000"/>
                <w:lang w:val="fr-FR"/>
              </w:rPr>
              <w:t xml:space="preserve">désigné </w:t>
            </w:r>
            <w:r>
              <w:rPr>
                <w:color w:val="FF0000"/>
                <w:lang w:val="fr-FR"/>
              </w:rPr>
              <w:t>pour les plaintes</w:t>
            </w:r>
            <w:r w:rsidR="00EE598B">
              <w:rPr>
                <w:color w:val="FF0000"/>
                <w:lang w:val="fr-FR"/>
              </w:rPr>
              <w:t xml:space="preserve"> </w:t>
            </w:r>
          </w:p>
          <w:p w14:paraId="5FEA432C" w14:textId="2F0EA52D" w:rsidR="003F79D4" w:rsidRPr="003865F3" w:rsidRDefault="003F79D4" w:rsidP="00E07E24">
            <w:pPr>
              <w:keepNext/>
              <w:keepLines/>
              <w:rPr>
                <w:color w:val="FF0000"/>
                <w:lang w:val="fr-FR"/>
              </w:rPr>
            </w:pPr>
          </w:p>
        </w:tc>
      </w:tr>
    </w:tbl>
    <w:p w14:paraId="7A4C1F6C" w14:textId="513BFFDE" w:rsidR="001E2468" w:rsidRPr="003865F3" w:rsidRDefault="001E2468">
      <w:pPr>
        <w:rPr>
          <w:lang w:val="fr-FR"/>
        </w:rPr>
        <w:sectPr w:rsidR="001E2468" w:rsidRPr="003865F3" w:rsidSect="00F82013">
          <w:pgSz w:w="11906" w:h="16838" w:code="9"/>
          <w:pgMar w:top="1440" w:right="1440" w:bottom="1440" w:left="1440" w:header="708" w:footer="708" w:gutter="0"/>
          <w:cols w:space="708"/>
          <w:titlePg/>
          <w:docGrid w:linePitch="360"/>
        </w:sectPr>
      </w:pPr>
    </w:p>
    <w:p w14:paraId="589C5A54" w14:textId="77777777" w:rsidR="00414398" w:rsidRPr="003865F3" w:rsidRDefault="00414398" w:rsidP="002347F2">
      <w:pPr>
        <w:rPr>
          <w:lang w:val="fr-FR"/>
        </w:rPr>
      </w:pPr>
    </w:p>
    <w:sectPr w:rsidR="00414398" w:rsidRPr="003865F3" w:rsidSect="00F82013">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AC0F" w14:textId="77777777" w:rsidR="00F82013" w:rsidRDefault="00F82013" w:rsidP="00583C3D">
      <w:pPr>
        <w:spacing w:before="0" w:after="0" w:line="240" w:lineRule="auto"/>
      </w:pPr>
      <w:r>
        <w:separator/>
      </w:r>
    </w:p>
  </w:endnote>
  <w:endnote w:type="continuationSeparator" w:id="0">
    <w:p w14:paraId="522E2388" w14:textId="77777777" w:rsidR="00F82013" w:rsidRDefault="00F82013" w:rsidP="00583C3D">
      <w:pPr>
        <w:spacing w:before="0" w:after="0" w:line="240" w:lineRule="auto"/>
      </w:pPr>
      <w:r>
        <w:continuationSeparator/>
      </w:r>
    </w:p>
  </w:endnote>
  <w:endnote w:type="continuationNotice" w:id="1">
    <w:p w14:paraId="1A5111A9" w14:textId="77777777" w:rsidR="00F82013" w:rsidRDefault="00F820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89B0" w14:textId="49E90231" w:rsidR="009E757D" w:rsidRPr="00E07E24" w:rsidRDefault="009E757D" w:rsidP="00E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2A3C" w14:textId="77777777" w:rsidR="00F82013" w:rsidRDefault="00F82013" w:rsidP="00583C3D">
      <w:pPr>
        <w:spacing w:before="0" w:after="0" w:line="240" w:lineRule="auto"/>
      </w:pPr>
      <w:r>
        <w:separator/>
      </w:r>
    </w:p>
  </w:footnote>
  <w:footnote w:type="continuationSeparator" w:id="0">
    <w:p w14:paraId="43429511" w14:textId="77777777" w:rsidR="00F82013" w:rsidRDefault="00F82013" w:rsidP="00583C3D">
      <w:pPr>
        <w:spacing w:before="0" w:after="0" w:line="240" w:lineRule="auto"/>
      </w:pPr>
      <w:r>
        <w:continuationSeparator/>
      </w:r>
    </w:p>
  </w:footnote>
  <w:footnote w:type="continuationNotice" w:id="1">
    <w:p w14:paraId="5BCF2D97" w14:textId="77777777" w:rsidR="00F82013" w:rsidRDefault="00F820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32D32C07" w:rsidR="009E757D" w:rsidRDefault="009E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99"/>
    <w:multiLevelType w:val="hybridMultilevel"/>
    <w:tmpl w:val="F522C086"/>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0A046EAA"/>
    <w:multiLevelType w:val="hybridMultilevel"/>
    <w:tmpl w:val="96907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4422B"/>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7190"/>
    <w:multiLevelType w:val="hybridMultilevel"/>
    <w:tmpl w:val="EFA2ACD0"/>
    <w:lvl w:ilvl="0" w:tplc="BFF818BC">
      <w:start w:val="2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5A3A99"/>
    <w:multiLevelType w:val="hybridMultilevel"/>
    <w:tmpl w:val="951CC0B4"/>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5" w15:restartNumberingAfterBreak="0">
    <w:nsid w:val="27BA4E81"/>
    <w:multiLevelType w:val="hybridMultilevel"/>
    <w:tmpl w:val="9C3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862F2"/>
    <w:multiLevelType w:val="hybridMultilevel"/>
    <w:tmpl w:val="A18E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DC38F9"/>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F1193"/>
    <w:multiLevelType w:val="hybridMultilevel"/>
    <w:tmpl w:val="9690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52855"/>
    <w:multiLevelType w:val="hybridMultilevel"/>
    <w:tmpl w:val="CF0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A0095"/>
    <w:multiLevelType w:val="hybridMultilevel"/>
    <w:tmpl w:val="0BC6EE28"/>
    <w:lvl w:ilvl="0" w:tplc="BFF818BC">
      <w:start w:val="2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56739"/>
    <w:multiLevelType w:val="hybridMultilevel"/>
    <w:tmpl w:val="7CD8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7261BE"/>
    <w:multiLevelType w:val="hybridMultilevel"/>
    <w:tmpl w:val="09F0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EB63EA"/>
    <w:multiLevelType w:val="hybridMultilevel"/>
    <w:tmpl w:val="9216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4212261">
    <w:abstractNumId w:val="12"/>
  </w:num>
  <w:num w:numId="2" w16cid:durableId="187447242">
    <w:abstractNumId w:val="10"/>
  </w:num>
  <w:num w:numId="3" w16cid:durableId="792938498">
    <w:abstractNumId w:val="4"/>
  </w:num>
  <w:num w:numId="4" w16cid:durableId="1515412700">
    <w:abstractNumId w:val="0"/>
  </w:num>
  <w:num w:numId="5" w16cid:durableId="869729086">
    <w:abstractNumId w:val="9"/>
  </w:num>
  <w:num w:numId="6" w16cid:durableId="1809779211">
    <w:abstractNumId w:val="5"/>
  </w:num>
  <w:num w:numId="7" w16cid:durableId="584189921">
    <w:abstractNumId w:val="7"/>
  </w:num>
  <w:num w:numId="8" w16cid:durableId="1298872247">
    <w:abstractNumId w:val="1"/>
  </w:num>
  <w:num w:numId="9" w16cid:durableId="433940789">
    <w:abstractNumId w:val="8"/>
  </w:num>
  <w:num w:numId="10" w16cid:durableId="410272022">
    <w:abstractNumId w:val="15"/>
  </w:num>
  <w:num w:numId="11" w16cid:durableId="1563558386">
    <w:abstractNumId w:val="13"/>
  </w:num>
  <w:num w:numId="12" w16cid:durableId="71050393">
    <w:abstractNumId w:val="6"/>
  </w:num>
  <w:num w:numId="13" w16cid:durableId="1219825460">
    <w:abstractNumId w:val="14"/>
  </w:num>
  <w:num w:numId="14" w16cid:durableId="1059090280">
    <w:abstractNumId w:val="2"/>
  </w:num>
  <w:num w:numId="15" w16cid:durableId="703091208">
    <w:abstractNumId w:val="11"/>
  </w:num>
  <w:num w:numId="16" w16cid:durableId="1661536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MzAyNTcxMjQyMrBQ0lEKTi0uzszPAykwrAUACQy1jSwAAAA="/>
  </w:docVars>
  <w:rsids>
    <w:rsidRoot w:val="00F361BC"/>
    <w:rsid w:val="00005B08"/>
    <w:rsid w:val="000132EF"/>
    <w:rsid w:val="00014960"/>
    <w:rsid w:val="0001601A"/>
    <w:rsid w:val="00024F13"/>
    <w:rsid w:val="0003515D"/>
    <w:rsid w:val="0004579E"/>
    <w:rsid w:val="00056D61"/>
    <w:rsid w:val="00061CEA"/>
    <w:rsid w:val="00070F54"/>
    <w:rsid w:val="000967CB"/>
    <w:rsid w:val="000C5395"/>
    <w:rsid w:val="000D3259"/>
    <w:rsid w:val="000D4D01"/>
    <w:rsid w:val="000E2C18"/>
    <w:rsid w:val="000E51C0"/>
    <w:rsid w:val="000F37F2"/>
    <w:rsid w:val="00116315"/>
    <w:rsid w:val="00117E2F"/>
    <w:rsid w:val="001272F0"/>
    <w:rsid w:val="00132A39"/>
    <w:rsid w:val="0015497B"/>
    <w:rsid w:val="001645BB"/>
    <w:rsid w:val="00167895"/>
    <w:rsid w:val="00167C13"/>
    <w:rsid w:val="00167C73"/>
    <w:rsid w:val="001A10C0"/>
    <w:rsid w:val="001B63F6"/>
    <w:rsid w:val="001C0D2C"/>
    <w:rsid w:val="001C6636"/>
    <w:rsid w:val="001D36B1"/>
    <w:rsid w:val="001E2468"/>
    <w:rsid w:val="001F675C"/>
    <w:rsid w:val="002038F4"/>
    <w:rsid w:val="00206267"/>
    <w:rsid w:val="00210BE0"/>
    <w:rsid w:val="00216E78"/>
    <w:rsid w:val="00217606"/>
    <w:rsid w:val="002229F2"/>
    <w:rsid w:val="0023141E"/>
    <w:rsid w:val="002333AD"/>
    <w:rsid w:val="002347F2"/>
    <w:rsid w:val="00247955"/>
    <w:rsid w:val="00252E2F"/>
    <w:rsid w:val="00260834"/>
    <w:rsid w:val="002740A2"/>
    <w:rsid w:val="00282E03"/>
    <w:rsid w:val="00292963"/>
    <w:rsid w:val="002A27A3"/>
    <w:rsid w:val="002A3E1B"/>
    <w:rsid w:val="002B6106"/>
    <w:rsid w:val="002C2692"/>
    <w:rsid w:val="002C4A40"/>
    <w:rsid w:val="002E0E54"/>
    <w:rsid w:val="002F0140"/>
    <w:rsid w:val="002F2611"/>
    <w:rsid w:val="002F505A"/>
    <w:rsid w:val="002F70E4"/>
    <w:rsid w:val="002F7F58"/>
    <w:rsid w:val="00302316"/>
    <w:rsid w:val="00304A64"/>
    <w:rsid w:val="00316904"/>
    <w:rsid w:val="00327636"/>
    <w:rsid w:val="00331663"/>
    <w:rsid w:val="00332E6F"/>
    <w:rsid w:val="00361C0C"/>
    <w:rsid w:val="00363B20"/>
    <w:rsid w:val="00365DFF"/>
    <w:rsid w:val="003865F3"/>
    <w:rsid w:val="00397063"/>
    <w:rsid w:val="003B7816"/>
    <w:rsid w:val="003B7A93"/>
    <w:rsid w:val="003C52E1"/>
    <w:rsid w:val="003D160D"/>
    <w:rsid w:val="003D382C"/>
    <w:rsid w:val="003E3D3F"/>
    <w:rsid w:val="003E4F1B"/>
    <w:rsid w:val="003E5668"/>
    <w:rsid w:val="003E5A56"/>
    <w:rsid w:val="003F79D4"/>
    <w:rsid w:val="00410811"/>
    <w:rsid w:val="00414398"/>
    <w:rsid w:val="004152E1"/>
    <w:rsid w:val="00416194"/>
    <w:rsid w:val="00424198"/>
    <w:rsid w:val="00440806"/>
    <w:rsid w:val="00446B56"/>
    <w:rsid w:val="00453D24"/>
    <w:rsid w:val="004573C5"/>
    <w:rsid w:val="00475C98"/>
    <w:rsid w:val="004863E6"/>
    <w:rsid w:val="00491165"/>
    <w:rsid w:val="00493C56"/>
    <w:rsid w:val="00494331"/>
    <w:rsid w:val="004B166E"/>
    <w:rsid w:val="004B29F6"/>
    <w:rsid w:val="004C1D46"/>
    <w:rsid w:val="004D2C17"/>
    <w:rsid w:val="004D59DB"/>
    <w:rsid w:val="004F39E8"/>
    <w:rsid w:val="005068AF"/>
    <w:rsid w:val="00535EBE"/>
    <w:rsid w:val="005449BB"/>
    <w:rsid w:val="00552F19"/>
    <w:rsid w:val="005560D8"/>
    <w:rsid w:val="0056237C"/>
    <w:rsid w:val="0056526C"/>
    <w:rsid w:val="005662AD"/>
    <w:rsid w:val="00574EEF"/>
    <w:rsid w:val="00583C3D"/>
    <w:rsid w:val="005B493E"/>
    <w:rsid w:val="005C1BE3"/>
    <w:rsid w:val="005C3CE8"/>
    <w:rsid w:val="005C584E"/>
    <w:rsid w:val="005E6C98"/>
    <w:rsid w:val="005F269E"/>
    <w:rsid w:val="00607F65"/>
    <w:rsid w:val="006211B0"/>
    <w:rsid w:val="00626BAC"/>
    <w:rsid w:val="006362D3"/>
    <w:rsid w:val="00636DC8"/>
    <w:rsid w:val="00652219"/>
    <w:rsid w:val="00673BA4"/>
    <w:rsid w:val="00683ED4"/>
    <w:rsid w:val="0068405D"/>
    <w:rsid w:val="006929FD"/>
    <w:rsid w:val="006A1F1B"/>
    <w:rsid w:val="006B7ABC"/>
    <w:rsid w:val="006D4F33"/>
    <w:rsid w:val="006D6CCA"/>
    <w:rsid w:val="006E39CE"/>
    <w:rsid w:val="006E789B"/>
    <w:rsid w:val="006F6A57"/>
    <w:rsid w:val="00701711"/>
    <w:rsid w:val="00707445"/>
    <w:rsid w:val="007275E8"/>
    <w:rsid w:val="0072767E"/>
    <w:rsid w:val="0075740E"/>
    <w:rsid w:val="007647C5"/>
    <w:rsid w:val="007740EB"/>
    <w:rsid w:val="007A6D66"/>
    <w:rsid w:val="007A79D9"/>
    <w:rsid w:val="007A7BCC"/>
    <w:rsid w:val="007B278F"/>
    <w:rsid w:val="007C3E8D"/>
    <w:rsid w:val="007D1359"/>
    <w:rsid w:val="007E357A"/>
    <w:rsid w:val="007E7A6F"/>
    <w:rsid w:val="00811F76"/>
    <w:rsid w:val="00832E41"/>
    <w:rsid w:val="00834645"/>
    <w:rsid w:val="008417AD"/>
    <w:rsid w:val="00841847"/>
    <w:rsid w:val="00844A29"/>
    <w:rsid w:val="0085349E"/>
    <w:rsid w:val="00874565"/>
    <w:rsid w:val="00876456"/>
    <w:rsid w:val="00877842"/>
    <w:rsid w:val="00894EC9"/>
    <w:rsid w:val="008B34DB"/>
    <w:rsid w:val="008B6F3B"/>
    <w:rsid w:val="008D3CDC"/>
    <w:rsid w:val="008D6320"/>
    <w:rsid w:val="008F0AF3"/>
    <w:rsid w:val="00900AD6"/>
    <w:rsid w:val="00926027"/>
    <w:rsid w:val="00926BDC"/>
    <w:rsid w:val="009318AD"/>
    <w:rsid w:val="00960596"/>
    <w:rsid w:val="00962787"/>
    <w:rsid w:val="0096330C"/>
    <w:rsid w:val="009807F4"/>
    <w:rsid w:val="009B5D1D"/>
    <w:rsid w:val="009B5DB9"/>
    <w:rsid w:val="009C683F"/>
    <w:rsid w:val="009D45AC"/>
    <w:rsid w:val="009E4814"/>
    <w:rsid w:val="009E5CF6"/>
    <w:rsid w:val="009E757D"/>
    <w:rsid w:val="009F3CE0"/>
    <w:rsid w:val="009F5050"/>
    <w:rsid w:val="009F770B"/>
    <w:rsid w:val="00A01A7F"/>
    <w:rsid w:val="00A22C7A"/>
    <w:rsid w:val="00A25725"/>
    <w:rsid w:val="00A26212"/>
    <w:rsid w:val="00A30B8E"/>
    <w:rsid w:val="00A35DA2"/>
    <w:rsid w:val="00A524E4"/>
    <w:rsid w:val="00A5321D"/>
    <w:rsid w:val="00A55A2D"/>
    <w:rsid w:val="00A7466C"/>
    <w:rsid w:val="00A81223"/>
    <w:rsid w:val="00A84C5D"/>
    <w:rsid w:val="00AB04F4"/>
    <w:rsid w:val="00AB22BE"/>
    <w:rsid w:val="00AB4924"/>
    <w:rsid w:val="00AC32A3"/>
    <w:rsid w:val="00AD4865"/>
    <w:rsid w:val="00AD5AD7"/>
    <w:rsid w:val="00AE4B24"/>
    <w:rsid w:val="00AF0BAB"/>
    <w:rsid w:val="00AF54B6"/>
    <w:rsid w:val="00B034A4"/>
    <w:rsid w:val="00B03994"/>
    <w:rsid w:val="00B0740A"/>
    <w:rsid w:val="00B30E4A"/>
    <w:rsid w:val="00B3410A"/>
    <w:rsid w:val="00B42BDF"/>
    <w:rsid w:val="00B4398E"/>
    <w:rsid w:val="00B50012"/>
    <w:rsid w:val="00B53AFA"/>
    <w:rsid w:val="00B73C82"/>
    <w:rsid w:val="00B74B44"/>
    <w:rsid w:val="00B80B01"/>
    <w:rsid w:val="00B90B44"/>
    <w:rsid w:val="00BA06FB"/>
    <w:rsid w:val="00BF4FF1"/>
    <w:rsid w:val="00C06967"/>
    <w:rsid w:val="00C56E22"/>
    <w:rsid w:val="00C66B46"/>
    <w:rsid w:val="00C75F56"/>
    <w:rsid w:val="00C80D9D"/>
    <w:rsid w:val="00C83D08"/>
    <w:rsid w:val="00CA7911"/>
    <w:rsid w:val="00CB4FE9"/>
    <w:rsid w:val="00CB704C"/>
    <w:rsid w:val="00CC08EB"/>
    <w:rsid w:val="00CC1740"/>
    <w:rsid w:val="00CD7ACA"/>
    <w:rsid w:val="00CD7CD9"/>
    <w:rsid w:val="00CE1A3B"/>
    <w:rsid w:val="00CE3C7E"/>
    <w:rsid w:val="00CE7C78"/>
    <w:rsid w:val="00D017C0"/>
    <w:rsid w:val="00D01D0E"/>
    <w:rsid w:val="00D21043"/>
    <w:rsid w:val="00D21063"/>
    <w:rsid w:val="00D2183D"/>
    <w:rsid w:val="00D223DB"/>
    <w:rsid w:val="00D363F5"/>
    <w:rsid w:val="00D43932"/>
    <w:rsid w:val="00D445B5"/>
    <w:rsid w:val="00D56264"/>
    <w:rsid w:val="00D70904"/>
    <w:rsid w:val="00D822B8"/>
    <w:rsid w:val="00D84932"/>
    <w:rsid w:val="00DB7354"/>
    <w:rsid w:val="00DC3221"/>
    <w:rsid w:val="00DE626E"/>
    <w:rsid w:val="00DF0D5B"/>
    <w:rsid w:val="00DF4CD1"/>
    <w:rsid w:val="00E0517D"/>
    <w:rsid w:val="00E06825"/>
    <w:rsid w:val="00E07E24"/>
    <w:rsid w:val="00E105FC"/>
    <w:rsid w:val="00E13C86"/>
    <w:rsid w:val="00E22A63"/>
    <w:rsid w:val="00E313E8"/>
    <w:rsid w:val="00E35AE9"/>
    <w:rsid w:val="00E36E71"/>
    <w:rsid w:val="00E37D21"/>
    <w:rsid w:val="00E418E6"/>
    <w:rsid w:val="00E4196E"/>
    <w:rsid w:val="00E44F10"/>
    <w:rsid w:val="00E733C2"/>
    <w:rsid w:val="00E75F9A"/>
    <w:rsid w:val="00E83CFC"/>
    <w:rsid w:val="00E8541A"/>
    <w:rsid w:val="00E862E3"/>
    <w:rsid w:val="00E87323"/>
    <w:rsid w:val="00E92777"/>
    <w:rsid w:val="00EA694D"/>
    <w:rsid w:val="00EC1EE9"/>
    <w:rsid w:val="00ED51BB"/>
    <w:rsid w:val="00ED6F83"/>
    <w:rsid w:val="00EE04E6"/>
    <w:rsid w:val="00EE43FE"/>
    <w:rsid w:val="00EE598B"/>
    <w:rsid w:val="00EF5645"/>
    <w:rsid w:val="00F153D7"/>
    <w:rsid w:val="00F165F1"/>
    <w:rsid w:val="00F17034"/>
    <w:rsid w:val="00F325FF"/>
    <w:rsid w:val="00F35290"/>
    <w:rsid w:val="00F361BC"/>
    <w:rsid w:val="00F42EE2"/>
    <w:rsid w:val="00F52EA9"/>
    <w:rsid w:val="00F648E7"/>
    <w:rsid w:val="00F67230"/>
    <w:rsid w:val="00F73E76"/>
    <w:rsid w:val="00F75CAC"/>
    <w:rsid w:val="00F82013"/>
    <w:rsid w:val="00FA359E"/>
    <w:rsid w:val="00FA4470"/>
    <w:rsid w:val="00FB2367"/>
    <w:rsid w:val="00FC5551"/>
    <w:rsid w:val="00FC6253"/>
    <w:rsid w:val="00FD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docId w15:val="{F176149A-F6B4-4718-9B8A-ABDD94DE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uiPriority w:val="9"/>
    <w:qFormat/>
    <w:rsid w:val="008D3C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D3CDC"/>
    <w:rPr>
      <w:caps/>
      <w:spacing w:val="15"/>
      <w:shd w:val="clear" w:color="auto" w:fill="D9E2F3" w:themeFill="accent1" w:themeFillTint="33"/>
    </w:rPr>
  </w:style>
  <w:style w:type="character" w:customStyle="1" w:styleId="Heading3Char">
    <w:name w:val="Heading 3 Char"/>
    <w:basedOn w:val="DefaultParagraphFont"/>
    <w:link w:val="Heading3"/>
    <w:uiPriority w:val="9"/>
    <w:rsid w:val="008D3CDC"/>
    <w:rPr>
      <w:caps/>
      <w:color w:val="1F3763" w:themeColor="accent1" w:themeShade="7F"/>
      <w:spacing w:val="15"/>
    </w:rPr>
  </w:style>
  <w:style w:type="character" w:customStyle="1" w:styleId="Heading4Char">
    <w:name w:val="Heading 4 Char"/>
    <w:basedOn w:val="DefaultParagraphFont"/>
    <w:link w:val="Heading4"/>
    <w:uiPriority w:val="9"/>
    <w:semiHidden/>
    <w:rsid w:val="008D3CDC"/>
    <w:rPr>
      <w:caps/>
      <w:color w:val="2F5496" w:themeColor="accent1" w:themeShade="BF"/>
      <w:spacing w:val="10"/>
    </w:rPr>
  </w:style>
  <w:style w:type="character" w:customStyle="1" w:styleId="Heading5Char">
    <w:name w:val="Heading 5 Char"/>
    <w:basedOn w:val="DefaultParagraphFont"/>
    <w:link w:val="Heading5"/>
    <w:uiPriority w:val="9"/>
    <w:semiHidden/>
    <w:rsid w:val="008D3CDC"/>
    <w:rPr>
      <w:caps/>
      <w:color w:val="2F5496" w:themeColor="accent1" w:themeShade="BF"/>
      <w:spacing w:val="10"/>
    </w:rPr>
  </w:style>
  <w:style w:type="character" w:customStyle="1" w:styleId="Heading6Char">
    <w:name w:val="Heading 6 Char"/>
    <w:basedOn w:val="DefaultParagraphFont"/>
    <w:link w:val="Heading6"/>
    <w:uiPriority w:val="9"/>
    <w:semiHidden/>
    <w:rsid w:val="008D3CDC"/>
    <w:rPr>
      <w:caps/>
      <w:color w:val="2F5496" w:themeColor="accent1" w:themeShade="BF"/>
      <w:spacing w:val="10"/>
    </w:rPr>
  </w:style>
  <w:style w:type="character" w:customStyle="1" w:styleId="Heading7Char">
    <w:name w:val="Heading 7 Char"/>
    <w:basedOn w:val="DefaultParagraphFont"/>
    <w:link w:val="Heading7"/>
    <w:uiPriority w:val="9"/>
    <w:semiHidden/>
    <w:rsid w:val="008D3CDC"/>
    <w:rPr>
      <w:caps/>
      <w:color w:val="2F5496"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2F5496"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1F3763"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D3CDC"/>
    <w:rPr>
      <w:color w:val="4472C4" w:themeColor="accent1"/>
      <w:sz w:val="24"/>
      <w:szCs w:val="24"/>
    </w:rPr>
  </w:style>
  <w:style w:type="character" w:styleId="SubtleEmphasis">
    <w:name w:val="Subtle Emphasis"/>
    <w:uiPriority w:val="19"/>
    <w:qFormat/>
    <w:rsid w:val="008D3CDC"/>
    <w:rPr>
      <w:i/>
      <w:iCs/>
      <w:color w:val="1F3763" w:themeColor="accent1" w:themeShade="7F"/>
    </w:rPr>
  </w:style>
  <w:style w:type="character" w:styleId="IntenseEmphasis">
    <w:name w:val="Intense Emphasis"/>
    <w:uiPriority w:val="21"/>
    <w:qFormat/>
    <w:rsid w:val="008D3CDC"/>
    <w:rPr>
      <w:b/>
      <w:bCs/>
      <w:caps/>
      <w:color w:val="1F3763" w:themeColor="accent1" w:themeShade="7F"/>
      <w:spacing w:val="10"/>
    </w:rPr>
  </w:style>
  <w:style w:type="character" w:styleId="SubtleReference">
    <w:name w:val="Subtle Reference"/>
    <w:uiPriority w:val="31"/>
    <w:qFormat/>
    <w:rsid w:val="008D3CDC"/>
    <w:rPr>
      <w:b/>
      <w:bCs/>
      <w:color w:val="4472C4" w:themeColor="accent1"/>
    </w:rPr>
  </w:style>
  <w:style w:type="character" w:styleId="IntenseReference">
    <w:name w:val="Intense Reference"/>
    <w:uiPriority w:val="32"/>
    <w:qFormat/>
    <w:rsid w:val="008D3CDC"/>
    <w:rPr>
      <w:b/>
      <w:bCs/>
      <w:i/>
      <w:iCs/>
      <w:caps/>
      <w:color w:val="4472C4"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semiHidden/>
    <w:unhideWhenUsed/>
    <w:rsid w:val="00583C3D"/>
    <w:pPr>
      <w:spacing w:before="0" w:after="0" w:line="240" w:lineRule="auto"/>
    </w:pPr>
  </w:style>
  <w:style w:type="character" w:customStyle="1" w:styleId="FootnoteTextChar">
    <w:name w:val="Footnote Text Char"/>
    <w:basedOn w:val="DefaultParagraphFont"/>
    <w:link w:val="FootnoteText"/>
    <w:uiPriority w:val="99"/>
    <w:semiHidden/>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39"/>
    <w:rsid w:val="00F17034"/>
    <w:pPr>
      <w:spacing w:before="0"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EA9"/>
    <w:rPr>
      <w:sz w:val="16"/>
      <w:szCs w:val="16"/>
    </w:rPr>
  </w:style>
  <w:style w:type="paragraph" w:styleId="CommentText">
    <w:name w:val="annotation text"/>
    <w:basedOn w:val="Normal"/>
    <w:link w:val="CommentTextChar"/>
    <w:uiPriority w:val="99"/>
    <w:unhideWhenUsed/>
    <w:rsid w:val="00F52EA9"/>
    <w:pPr>
      <w:spacing w:line="240" w:lineRule="auto"/>
    </w:pPr>
  </w:style>
  <w:style w:type="character" w:customStyle="1" w:styleId="CommentTextChar">
    <w:name w:val="Comment Text Char"/>
    <w:basedOn w:val="DefaultParagraphFont"/>
    <w:link w:val="CommentText"/>
    <w:uiPriority w:val="99"/>
    <w:rsid w:val="00F52EA9"/>
  </w:style>
  <w:style w:type="paragraph" w:styleId="CommentSubject">
    <w:name w:val="annotation subject"/>
    <w:basedOn w:val="CommentText"/>
    <w:next w:val="CommentText"/>
    <w:link w:val="CommentSubjectChar"/>
    <w:uiPriority w:val="99"/>
    <w:semiHidden/>
    <w:unhideWhenUsed/>
    <w:rsid w:val="00F52EA9"/>
    <w:rPr>
      <w:b/>
      <w:bCs/>
    </w:rPr>
  </w:style>
  <w:style w:type="character" w:customStyle="1" w:styleId="CommentSubjectChar">
    <w:name w:val="Comment Subject Char"/>
    <w:basedOn w:val="CommentTextChar"/>
    <w:link w:val="CommentSubject"/>
    <w:uiPriority w:val="99"/>
    <w:semiHidden/>
    <w:rsid w:val="00F52EA9"/>
    <w:rPr>
      <w:b/>
      <w:bCs/>
    </w:rPr>
  </w:style>
  <w:style w:type="paragraph" w:styleId="Revision">
    <w:name w:val="Revision"/>
    <w:hidden/>
    <w:uiPriority w:val="99"/>
    <w:semiHidden/>
    <w:rsid w:val="003D160D"/>
    <w:pPr>
      <w:spacing w:before="0" w:after="0" w:line="240" w:lineRule="auto"/>
    </w:pPr>
  </w:style>
  <w:style w:type="paragraph" w:styleId="BalloonText">
    <w:name w:val="Balloon Text"/>
    <w:basedOn w:val="Normal"/>
    <w:link w:val="BalloonTextChar"/>
    <w:uiPriority w:val="99"/>
    <w:semiHidden/>
    <w:unhideWhenUsed/>
    <w:rsid w:val="004D59D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9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9294">
      <w:bodyDiv w:val="1"/>
      <w:marLeft w:val="0"/>
      <w:marRight w:val="0"/>
      <w:marTop w:val="0"/>
      <w:marBottom w:val="0"/>
      <w:divBdr>
        <w:top w:val="none" w:sz="0" w:space="0" w:color="auto"/>
        <w:left w:val="none" w:sz="0" w:space="0" w:color="auto"/>
        <w:bottom w:val="none" w:sz="0" w:space="0" w:color="auto"/>
        <w:right w:val="none" w:sz="0" w:space="0" w:color="auto"/>
      </w:divBdr>
    </w:div>
    <w:div w:id="342316320">
      <w:bodyDiv w:val="1"/>
      <w:marLeft w:val="0"/>
      <w:marRight w:val="0"/>
      <w:marTop w:val="0"/>
      <w:marBottom w:val="0"/>
      <w:divBdr>
        <w:top w:val="none" w:sz="0" w:space="0" w:color="auto"/>
        <w:left w:val="none" w:sz="0" w:space="0" w:color="auto"/>
        <w:bottom w:val="none" w:sz="0" w:space="0" w:color="auto"/>
        <w:right w:val="none" w:sz="0" w:space="0" w:color="auto"/>
      </w:divBdr>
    </w:div>
    <w:div w:id="1351758892">
      <w:bodyDiv w:val="1"/>
      <w:marLeft w:val="0"/>
      <w:marRight w:val="0"/>
      <w:marTop w:val="0"/>
      <w:marBottom w:val="0"/>
      <w:divBdr>
        <w:top w:val="none" w:sz="0" w:space="0" w:color="auto"/>
        <w:left w:val="none" w:sz="0" w:space="0" w:color="auto"/>
        <w:bottom w:val="none" w:sz="0" w:space="0" w:color="auto"/>
        <w:right w:val="none" w:sz="0" w:space="0" w:color="auto"/>
      </w:divBdr>
    </w:div>
    <w:div w:id="150046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lcf76f155ced4ddcb4097134ff3c332f xmlns="2aac1c47-a7bd-4382-bbe6-d59290c165d5">
      <Terms xmlns="http://schemas.microsoft.com/office/infopath/2007/PartnerControls"/>
    </lcf76f155ced4ddcb4097134ff3c332f>
    <SemaphoreItemMetadata xmlns="03aba595-bc08-4bc6-a067-44fa0d6fce4c" xsi:nil="true"/>
    <TaxKeywordTaxHTField xmlns="03aba595-bc08-4bc6-a067-44fa0d6fce4c">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2.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3.xml><?xml version="1.0" encoding="utf-8"?>
<ds:datastoreItem xmlns:ds="http://schemas.openxmlformats.org/officeDocument/2006/customXml" ds:itemID="{FDF2AF31-B48C-4B9F-9FAC-67DDBC128B3D}"/>
</file>

<file path=customXml/itemProps4.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http://schemas.microsoft.com/sharepoint/v4"/>
    <ds:schemaRef ds:uri="0e53d4a5-cdc7-4be0-9ee8-798ccdccf14d"/>
    <ds:schemaRef ds:uri="d0177c13-debd-4ef2-961e-d9a825a56542"/>
  </ds:schemaRefs>
</ds:datastoreItem>
</file>

<file path=customXml/itemProps5.xml><?xml version="1.0" encoding="utf-8"?>
<ds:datastoreItem xmlns:ds="http://schemas.openxmlformats.org/officeDocument/2006/customXml" ds:itemID="{E2002D57-7AE0-C94D-B7E5-36C2788077F4}">
  <ds:schemaRefs>
    <ds:schemaRef ds:uri="http://schemas.openxmlformats.org/officeDocument/2006/bibliography"/>
  </ds:schemaRefs>
</ds:datastoreItem>
</file>

<file path=customXml/itemProps6.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7.xml><?xml version="1.0" encoding="utf-8"?>
<ds:datastoreItem xmlns:ds="http://schemas.openxmlformats.org/officeDocument/2006/customXml" ds:itemID="{C9AA0EC1-63B5-43D6-B30B-42D297231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13474</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3</cp:revision>
  <dcterms:created xsi:type="dcterms:W3CDTF">2024-02-09T08:30:00Z</dcterms:created>
  <dcterms:modified xsi:type="dcterms:W3CDTF">2024-02-09T08:30:00Z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fb2d341b19ca156ed87d2a515491a4bbbb32413e650bb0bf29e3113f919781db</vt:lpwstr>
  </property>
</Properties>
</file>