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A8D" w14:textId="77777777" w:rsidR="00036397" w:rsidRPr="00692051" w:rsidRDefault="00036397" w:rsidP="005F15E5">
      <w:pPr>
        <w:pStyle w:val="Title"/>
        <w:rPr>
          <w:color w:val="FF0000"/>
        </w:rPr>
      </w:pPr>
      <w:r w:rsidRPr="00692051">
        <w:rPr>
          <w:color w:val="FF0000"/>
        </w:rPr>
        <w:t xml:space="preserve">(страна/обследование, год) </w:t>
      </w:r>
      <w:r w:rsidRPr="00692051">
        <w:t>Протокол защиты</w:t>
      </w:r>
    </w:p>
    <w:p w14:paraId="4C2A7C5A" w14:textId="77777777" w:rsidR="00036397" w:rsidRPr="00692051" w:rsidRDefault="00036397" w:rsidP="00F361BC">
      <w:pPr>
        <w:pStyle w:val="Heading1"/>
      </w:pPr>
      <w:bookmarkStart w:id="0" w:name="_Toc115100838"/>
      <w:r w:rsidRPr="00692051">
        <w:t>Введение</w:t>
      </w:r>
      <w:bookmarkEnd w:id="0"/>
    </w:p>
    <w:p w14:paraId="14F16D54" w14:textId="130DA6CB" w:rsidR="00036397" w:rsidRPr="001C28E3" w:rsidRDefault="00036397">
      <w:pPr>
        <w:rPr>
          <w:lang w:val="en-GB"/>
        </w:rPr>
      </w:pPr>
      <w:r w:rsidRPr="00692051">
        <w:t>Протокол защиты MICS определяет ожидаемые или фактические риски в процессе обследования, в частности, в отношении следующих этических аспектов: потенциальный вред и польза для участников, процесс получения информированного согласия, конфиденциальность</w:t>
      </w:r>
      <w:r w:rsidR="00692051">
        <w:t>,</w:t>
      </w:r>
      <w:r w:rsidRPr="00692051">
        <w:t xml:space="preserve"> жалобы и опасения участников. Протокол также определяет меры и процедуры, ожидаемые или используемые для устранения или смягчения этих рисков. Потенциальные этические риски и стратегии их смягчения, включенные в настоящий протокол, рассматривались и оценивались в рамках более широкого процесса обеспечения качества обследования со стороны Руководящего и Технического комитетов</w:t>
      </w:r>
      <w:r w:rsidR="001C28E3">
        <w:rPr>
          <w:lang w:val="en-GB"/>
        </w:rPr>
        <w:t>.</w:t>
      </w:r>
    </w:p>
    <w:p w14:paraId="0CFBE0D2" w14:textId="77777777" w:rsidR="00036397" w:rsidRPr="00692051" w:rsidRDefault="00036397" w:rsidP="00E4196E">
      <w:pPr>
        <w:rPr>
          <w:color w:val="FF0000"/>
        </w:rPr>
      </w:pPr>
      <w:r w:rsidRPr="00692051">
        <w:rPr>
          <w:color w:val="FF0000"/>
        </w:rPr>
        <w:t>Координационный центр по этике при руководящем комитете должен разработать настоящий документ в сотрудничестве с остальными членами комитета. Документ должен быть окончательно оформлен до начала предварительного тестирования вопросников и должен описывать роли и обязанности координационной группы обследования и Руководящего и Технического комитетов при решении этических вопросов, возникающих в ходе планирования обследования и сбора данных.</w:t>
      </w:r>
    </w:p>
    <w:p w14:paraId="35EC9FB2" w14:textId="77777777" w:rsidR="00036397" w:rsidRPr="00692051" w:rsidRDefault="00036397" w:rsidP="00E4196E">
      <w:pPr>
        <w:rPr>
          <w:color w:val="FF0000"/>
        </w:rPr>
      </w:pPr>
      <w:r w:rsidRPr="00692051">
        <w:rPr>
          <w:color w:val="FF0000"/>
        </w:rPr>
        <w:t>Пожалуйста, заполните нижеприведенные разделы в соответствии с инструкциями и примерами, приведенными в качестве руководства красным шрифтом. Пожалуйста, адаптируйте эти примеры с помощью подходящих контекстных примеров, применимых к Вашему обследованию и стране. Например, могут существовать риски, связанные с природными катастрофами, гуманитарными вопросам в постконфликтной среде. Или основные аспекты могут отличаться от представленных примеров.</w:t>
      </w:r>
    </w:p>
    <w:p w14:paraId="51B74D79" w14:textId="77777777" w:rsidR="00036397" w:rsidRPr="00692051" w:rsidRDefault="00036397" w:rsidP="00E4196E">
      <w:pPr>
        <w:rPr>
          <w:color w:val="FF0000"/>
        </w:rPr>
      </w:pPr>
      <w:r w:rsidRPr="00692051">
        <w:rPr>
          <w:color w:val="FF0000"/>
        </w:rPr>
        <w:t xml:space="preserve">Пожалуйста, обратите внимание, что модули "Психическое здоровье" и "Насилие против женщин" требует особых этических процедур, в том числе высокий риск срочного обращения за помощью в психологические и другие службы. Если MICS включает эти модули, пожалуйста, ознакомьтесь с особыми этическими руководствами в соответствующих дополнительных пакетах. Разработка системы, включающей высокий риск срочного обращения за помощью, часто требует значительного времени на поиск существующих служб, взаимодействие с соответствующими заинтересованными сторонами, согласование и планирование логистики. Также может потребоваться составление бюджета. Пожалуйста, начните подготовку системы обращений </w:t>
      </w:r>
      <w:r w:rsidRPr="00692051">
        <w:rPr>
          <w:color w:val="FF0000"/>
          <w:u w:val="single"/>
        </w:rPr>
        <w:t>в кратчайшие сроки</w:t>
      </w:r>
      <w:r w:rsidRPr="00692051">
        <w:rPr>
          <w:color w:val="FF0000"/>
        </w:rPr>
        <w:t xml:space="preserve"> в начале процесса проектирования обследования, следуя руководствам, представленным в дополнительных пакетах по данным модулям. После окончания проектирования системы обращений, пожалуйста, опишите подробно в настоящем документе, какие конкретные меры будут приняты. </w:t>
      </w:r>
    </w:p>
    <w:p w14:paraId="002404AF" w14:textId="77777777" w:rsidR="00036397" w:rsidRPr="00692051" w:rsidRDefault="00036397" w:rsidP="002A27A3">
      <w:pPr>
        <w:pStyle w:val="Heading1"/>
      </w:pPr>
      <w:r w:rsidRPr="00692051">
        <w:t>протокол защиты: Этические аспекты, риски, стратегии их смягчения</w:t>
      </w:r>
    </w:p>
    <w:p w14:paraId="00D46C5E" w14:textId="77777777" w:rsidR="00036397" w:rsidRPr="00692051" w:rsidRDefault="00036397" w:rsidP="00E07E24"/>
    <w:p w14:paraId="704E0DDD" w14:textId="77777777" w:rsidR="00036397" w:rsidRPr="00692051" w:rsidRDefault="00036397" w:rsidP="00A81223">
      <w:pPr>
        <w:pStyle w:val="Heading2"/>
        <w:numPr>
          <w:ilvl w:val="0"/>
          <w:numId w:val="8"/>
        </w:numPr>
      </w:pPr>
      <w:bookmarkStart w:id="1" w:name="_Toc115094865"/>
      <w:bookmarkStart w:id="2" w:name="_Toc115100842"/>
      <w:r w:rsidRPr="00692051">
        <w:t>риски для участников</w:t>
      </w:r>
      <w:bookmarkEnd w:id="1"/>
      <w:bookmarkEnd w:id="2"/>
    </w:p>
    <w:p w14:paraId="7D76DCF1" w14:textId="77777777" w:rsidR="00036397" w:rsidRPr="00692051" w:rsidRDefault="00036397" w:rsidP="00414398">
      <w:r w:rsidRPr="00692051">
        <w:t xml:space="preserve">Данный раздел определяет потенциальные риски для участников и формулирует надлежащие планы управления рисками или стратегии их смягчения. Потенциальные риски для участников могут быть психологическими, физическими, социальными, юридическими и экономическими. В данном разделе также отражаются особые аспекты, связанные с высокочувствительными темами </w:t>
      </w:r>
      <w:r w:rsidRPr="00692051">
        <w:rPr>
          <w:color w:val="FF0000"/>
        </w:rPr>
        <w:t>(например, психическое здоровье, насилие против женщин)</w:t>
      </w:r>
      <w:r w:rsidRPr="00692051">
        <w:t xml:space="preserve"> и прямым взаимодействием с детьми и подростками </w:t>
      </w:r>
      <w:r w:rsidRPr="00692051">
        <w:rPr>
          <w:color w:val="FF0000"/>
        </w:rPr>
        <w:t>(например, обучение в младших классах)</w:t>
      </w:r>
      <w:r w:rsidRPr="00692051">
        <w:t xml:space="preserve">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5696"/>
        <w:gridCol w:w="1506"/>
      </w:tblGrid>
      <w:tr w:rsidR="00036397" w:rsidRPr="00692051" w14:paraId="5EB924B6" w14:textId="77777777" w:rsidTr="000A4FE0">
        <w:tc>
          <w:tcPr>
            <w:tcW w:w="2245" w:type="dxa"/>
            <w:shd w:val="clear" w:color="auto" w:fill="D9E2F3"/>
          </w:tcPr>
          <w:p w14:paraId="54070050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</w:pPr>
            <w:r w:rsidRPr="00692051">
              <w:lastRenderedPageBreak/>
              <w:t xml:space="preserve">Риски </w:t>
            </w:r>
          </w:p>
        </w:tc>
        <w:tc>
          <w:tcPr>
            <w:tcW w:w="5760" w:type="dxa"/>
            <w:shd w:val="clear" w:color="auto" w:fill="D9E2F3"/>
          </w:tcPr>
          <w:p w14:paraId="2BA3D328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</w:pPr>
            <w:r w:rsidRPr="00692051">
              <w:t>Стратегии по устранению рисков</w:t>
            </w:r>
          </w:p>
        </w:tc>
        <w:tc>
          <w:tcPr>
            <w:tcW w:w="1440" w:type="dxa"/>
            <w:shd w:val="clear" w:color="auto" w:fill="D9E2F3"/>
          </w:tcPr>
          <w:p w14:paraId="46E8740E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</w:pPr>
            <w:r w:rsidRPr="00692051">
              <w:t>Координатор</w:t>
            </w:r>
          </w:p>
        </w:tc>
      </w:tr>
      <w:tr w:rsidR="00036397" w:rsidRPr="00692051" w14:paraId="0819F608" w14:textId="77777777" w:rsidTr="000A4FE0">
        <w:trPr>
          <w:trHeight w:val="2600"/>
        </w:trPr>
        <w:tc>
          <w:tcPr>
            <w:tcW w:w="2245" w:type="dxa"/>
          </w:tcPr>
          <w:p w14:paraId="7FC23BF8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Интервьюер заставляет респондента испытывать неловкость или стресс</w:t>
            </w:r>
          </w:p>
          <w:p w14:paraId="5983A1D6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5760" w:type="dxa"/>
          </w:tcPr>
          <w:p w14:paraId="29E47B9D" w14:textId="77777777" w:rsidR="00036397" w:rsidRPr="00692051" w:rsidRDefault="00036397" w:rsidP="000A4FE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Этический модуль включен в обучение и (или) кодекс поведения группы по работе на местах четко обозначен в ходе обучения</w:t>
            </w:r>
          </w:p>
          <w:p w14:paraId="3D670CF4" w14:textId="77777777" w:rsidR="00036397" w:rsidRPr="00692051" w:rsidRDefault="00036397" w:rsidP="000A4FE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(если возможно) не носят ничего, что демонстрирует их принадлежность к политической или религиозной партии</w:t>
            </w:r>
          </w:p>
          <w:p w14:paraId="3568BB17" w14:textId="77777777" w:rsidR="00036397" w:rsidRPr="00692051" w:rsidRDefault="00036397" w:rsidP="000A4FE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проходят обучение тому, как реагировать на стресс</w:t>
            </w:r>
          </w:p>
          <w:p w14:paraId="0DDE4204" w14:textId="77777777" w:rsidR="00036397" w:rsidRPr="00692051" w:rsidRDefault="00036397" w:rsidP="000A4FE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проходят обучение и осведомлены об обязанностях по обеспечению конфиденциальности данных</w:t>
            </w:r>
          </w:p>
          <w:p w14:paraId="22975312" w14:textId="77777777" w:rsidR="00036397" w:rsidRPr="00692051" w:rsidRDefault="00036397" w:rsidP="000A4FE0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проходят обучение и соглашаются не высказывать мнения или личный опыт по чувствительным вопросам или вопросам их вопросника.</w:t>
            </w:r>
          </w:p>
        </w:tc>
        <w:tc>
          <w:tcPr>
            <w:tcW w:w="1440" w:type="dxa"/>
          </w:tcPr>
          <w:p w14:paraId="225A952F" w14:textId="77777777" w:rsidR="00036397" w:rsidRPr="00692051" w:rsidRDefault="00036397" w:rsidP="000A4FE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Ведущие обучения</w:t>
            </w:r>
          </w:p>
        </w:tc>
      </w:tr>
      <w:tr w:rsidR="00036397" w:rsidRPr="00692051" w14:paraId="7427DE8B" w14:textId="77777777" w:rsidTr="000A4FE0">
        <w:trPr>
          <w:trHeight w:val="1296"/>
        </w:trPr>
        <w:tc>
          <w:tcPr>
            <w:tcW w:w="2245" w:type="dxa"/>
          </w:tcPr>
          <w:p w14:paraId="67004F18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Признаки очевидного, острого заболевания или психического состояния у респондента или члена домохозяйства</w:t>
            </w:r>
          </w:p>
        </w:tc>
        <w:tc>
          <w:tcPr>
            <w:tcW w:w="5760" w:type="dxa"/>
          </w:tcPr>
          <w:p w14:paraId="11E742C8" w14:textId="77777777" w:rsidR="00036397" w:rsidRPr="00692051" w:rsidRDefault="00036397" w:rsidP="000A4FE0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Предоставление списка медицинских учреждений / психиатрических служб / служб психологической поддержки.</w:t>
            </w:r>
          </w:p>
          <w:p w14:paraId="6FF9BE2E" w14:textId="77777777" w:rsidR="00036397" w:rsidRPr="00692051" w:rsidRDefault="00036397" w:rsidP="000A4FE0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(Если обследование включает модули психического здоровья или насилия против женщин): Существует четкий процесс обращений за помощью, включая процесс определения того, следует ли направлять респондента в службы поддержки.</w:t>
            </w:r>
          </w:p>
        </w:tc>
        <w:tc>
          <w:tcPr>
            <w:tcW w:w="1440" w:type="dxa"/>
          </w:tcPr>
          <w:p w14:paraId="5B01EE8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Интервьюеры</w:t>
            </w:r>
          </w:p>
        </w:tc>
      </w:tr>
      <w:tr w:rsidR="00036397" w:rsidRPr="00692051" w14:paraId="60E6B9B3" w14:textId="77777777" w:rsidTr="000A4FE0">
        <w:trPr>
          <w:trHeight w:val="4320"/>
        </w:trPr>
        <w:tc>
          <w:tcPr>
            <w:tcW w:w="2245" w:type="dxa"/>
          </w:tcPr>
          <w:p w14:paraId="38917B39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Ребенок или родитель сообщает, что он сталкивается с домашним насилием, что с ребенком жестоко обращаются</w:t>
            </w:r>
          </w:p>
          <w:p w14:paraId="403115F2" w14:textId="77777777" w:rsidR="00036397" w:rsidRPr="00692051" w:rsidRDefault="00036397" w:rsidP="000A4FE0">
            <w:pPr>
              <w:spacing w:before="0" w:after="0" w:line="240" w:lineRule="auto"/>
            </w:pPr>
          </w:p>
          <w:p w14:paraId="3623AF65" w14:textId="77777777" w:rsidR="00036397" w:rsidRPr="00692051" w:rsidRDefault="00036397" w:rsidP="000A4FE0">
            <w:pPr>
              <w:spacing w:before="0" w:after="0" w:line="240" w:lineRule="auto"/>
            </w:pPr>
          </w:p>
          <w:p w14:paraId="120C7E4D" w14:textId="77777777" w:rsidR="00036397" w:rsidRPr="00692051" w:rsidRDefault="00036397" w:rsidP="000A4FE0">
            <w:pPr>
              <w:spacing w:before="0" w:after="0" w:line="240" w:lineRule="auto"/>
            </w:pPr>
          </w:p>
        </w:tc>
        <w:tc>
          <w:tcPr>
            <w:tcW w:w="5760" w:type="dxa"/>
          </w:tcPr>
          <w:p w14:paraId="045603D4" w14:textId="77777777" w:rsidR="00036397" w:rsidRPr="00692051" w:rsidRDefault="00036397" w:rsidP="000A4FE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Обращайтесь к национальному законодательству по вопросу сообщения о жестоком обращении (вставить соответствующее законодательство), в котором указано (</w:t>
            </w:r>
            <w:r w:rsidRPr="00692051">
              <w:rPr>
                <w:rFonts w:cs="Calibri"/>
                <w:color w:val="FF0000"/>
                <w:cs/>
              </w:rPr>
              <w:t>…</w:t>
            </w:r>
            <w:r w:rsidRPr="00692051">
              <w:rPr>
                <w:color w:val="FF0000"/>
              </w:rPr>
              <w:t>).</w:t>
            </w:r>
          </w:p>
          <w:p w14:paraId="72DD83CD" w14:textId="77777777" w:rsidR="00036397" w:rsidRPr="00692051" w:rsidRDefault="00036397" w:rsidP="000A4FE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(Если законодательство требует обязательно сообщать о жестоком обращении): В информированном согласии указано, что в соответствии с законодательством, если получена информация о жестоком обращении или есть признаки жестокого обращения, об этом должно быть сообщено согласно законодательству.</w:t>
            </w:r>
          </w:p>
          <w:p w14:paraId="37163A9F" w14:textId="77777777" w:rsidR="00036397" w:rsidRPr="00692051" w:rsidRDefault="00036397" w:rsidP="000A4FE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 xml:space="preserve">(Если нет обязанности сообщать о жестоком обращении): Меры не предпринимаются, если респондент не просит о помощи; в том случае интервьюеры предоставят информацию о соответствующих службах поддержки/телефонных линиях помощи (которые определяются заранее и предоставляются интервьюерам в виде списка местных или соответствующих медицинских служб или служб социальной поддержки, которые доступны и желают оказывать поддержку, при необходимости). </w:t>
            </w:r>
          </w:p>
          <w:p w14:paraId="6AD3B602" w14:textId="77777777" w:rsidR="00036397" w:rsidRPr="00692051" w:rsidRDefault="00036397" w:rsidP="000A4FE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Существует четкий процесс обращений за помощью, включая контрольный список для принятия решения о том, следует ли направлять ребенка/лицо в службы поддержки.</w:t>
            </w:r>
          </w:p>
          <w:p w14:paraId="56FA592B" w14:textId="77777777" w:rsidR="00036397" w:rsidRPr="00692051" w:rsidRDefault="00036397" w:rsidP="000A4FE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70" w:hanging="270"/>
              <w:rPr>
                <w:color w:val="FF0000"/>
              </w:rPr>
            </w:pPr>
            <w:r w:rsidRPr="00692051">
              <w:rPr>
                <w:color w:val="FF0000"/>
              </w:rPr>
              <w:t>Предоставление списка поставщиков услуг, который включает не только приюты для жертв домашнего насилия или службы поддержки женщин, но и другие службы, такие как медицинские и общественные центры.</w:t>
            </w:r>
          </w:p>
        </w:tc>
        <w:tc>
          <w:tcPr>
            <w:tcW w:w="1440" w:type="dxa"/>
          </w:tcPr>
          <w:p w14:paraId="5D3BBCEE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Национальный координатор обследования MICS </w:t>
            </w:r>
          </w:p>
          <w:p w14:paraId="57CBEF65" w14:textId="77777777" w:rsidR="00036397" w:rsidRPr="00692051" w:rsidRDefault="00036397" w:rsidP="000A4FE0">
            <w:pPr>
              <w:pStyle w:val="ListParagraph"/>
              <w:spacing w:before="0" w:after="0" w:line="240" w:lineRule="auto"/>
              <w:ind w:left="340"/>
            </w:pPr>
          </w:p>
          <w:p w14:paraId="45ABD5F9" w14:textId="77777777" w:rsidR="00036397" w:rsidRPr="00692051" w:rsidRDefault="00036397" w:rsidP="000A4FE0">
            <w:pPr>
              <w:pStyle w:val="ListParagraph"/>
              <w:spacing w:before="0" w:after="0" w:line="240" w:lineRule="auto"/>
              <w:ind w:left="340"/>
            </w:pPr>
          </w:p>
          <w:p w14:paraId="6C3C9AF4" w14:textId="77777777" w:rsidR="00036397" w:rsidRPr="00692051" w:rsidRDefault="00036397" w:rsidP="000A4FE0">
            <w:pPr>
              <w:pStyle w:val="ListParagraph"/>
              <w:spacing w:before="0" w:after="0" w:line="240" w:lineRule="auto"/>
              <w:ind w:left="340"/>
            </w:pPr>
          </w:p>
          <w:p w14:paraId="6C117940" w14:textId="77777777" w:rsidR="00036397" w:rsidRPr="00692051" w:rsidRDefault="00036397" w:rsidP="000A4FE0">
            <w:pPr>
              <w:pStyle w:val="ListParagraph"/>
              <w:spacing w:before="0" w:after="0" w:line="240" w:lineRule="auto"/>
              <w:ind w:left="340"/>
            </w:pPr>
          </w:p>
          <w:p w14:paraId="75657AC4" w14:textId="77777777" w:rsidR="00036397" w:rsidRPr="00692051" w:rsidRDefault="00036397" w:rsidP="000A4FE0">
            <w:pPr>
              <w:pStyle w:val="ListParagraph"/>
              <w:spacing w:before="0" w:after="0" w:line="240" w:lineRule="auto"/>
              <w:ind w:left="340"/>
            </w:pPr>
          </w:p>
          <w:p w14:paraId="5123AE68" w14:textId="77777777" w:rsidR="00036397" w:rsidRPr="00692051" w:rsidRDefault="00036397" w:rsidP="000A4FE0">
            <w:pPr>
              <w:spacing w:before="0" w:after="0" w:line="240" w:lineRule="auto"/>
            </w:pPr>
          </w:p>
        </w:tc>
      </w:tr>
      <w:tr w:rsidR="00036397" w:rsidRPr="00692051" w14:paraId="223E8E2B" w14:textId="77777777" w:rsidTr="000A4FE0">
        <w:trPr>
          <w:trHeight w:val="1070"/>
        </w:trPr>
        <w:tc>
          <w:tcPr>
            <w:tcW w:w="2245" w:type="dxa"/>
          </w:tcPr>
          <w:p w14:paraId="0E6EF3C7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Респондент сообщает о незаконной деятельности в домохозяйстве (например, о детском труде).</w:t>
            </w:r>
          </w:p>
        </w:tc>
        <w:tc>
          <w:tcPr>
            <w:tcW w:w="5760" w:type="dxa"/>
          </w:tcPr>
          <w:p w14:paraId="518AD469" w14:textId="77777777" w:rsidR="00036397" w:rsidRPr="00692051" w:rsidRDefault="00036397" w:rsidP="000A4FE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В статье IV.8 МоВ говорится, что "лицо, участвующее в обследовании домохозяйства или проводящее его, не должно подвергаться преследованию на основании задаваемых вопросов и ответов, данных в рамках обследования".</w:t>
            </w:r>
          </w:p>
          <w:p w14:paraId="5603A60C" w14:textId="77777777" w:rsidR="00036397" w:rsidRPr="00692051" w:rsidRDefault="00036397" w:rsidP="000A4FE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проходят обучение не комментировать и не высказывать мнения об ответах респондентов.</w:t>
            </w:r>
          </w:p>
        </w:tc>
        <w:tc>
          <w:tcPr>
            <w:tcW w:w="1440" w:type="dxa"/>
          </w:tcPr>
          <w:p w14:paraId="6505F565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обследования MICS</w:t>
            </w:r>
          </w:p>
          <w:p w14:paraId="30A4182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</w:tr>
      <w:tr w:rsidR="00036397" w:rsidRPr="00692051" w14:paraId="6F43C15B" w14:textId="77777777" w:rsidTr="000A4FE0">
        <w:trPr>
          <w:trHeight w:val="1008"/>
        </w:trPr>
        <w:tc>
          <w:tcPr>
            <w:tcW w:w="2245" w:type="dxa"/>
          </w:tcPr>
          <w:p w14:paraId="54E0DBD7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692051">
              <w:rPr>
                <w:color w:val="FF0000"/>
              </w:rPr>
              <w:t xml:space="preserve">Присутствие военных или других представителей органов власти(потенциальное </w:t>
            </w:r>
            <w:r w:rsidRPr="00692051">
              <w:rPr>
                <w:color w:val="FF0000"/>
              </w:rPr>
              <w:lastRenderedPageBreak/>
              <w:t>запугивание)</w:t>
            </w:r>
          </w:p>
          <w:p w14:paraId="515EA73D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5760" w:type="dxa"/>
          </w:tcPr>
          <w:p w14:paraId="3742AAB9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lastRenderedPageBreak/>
              <w:t>Четкие инструкции предоставляются военному конвою и (или) представителям органов власти о том, что им запрещено входить в дома, и респонденты не должны их видеть до, во время или после обследования.</w:t>
            </w:r>
          </w:p>
        </w:tc>
        <w:tc>
          <w:tcPr>
            <w:tcW w:w="1440" w:type="dxa"/>
          </w:tcPr>
          <w:p w14:paraId="139C53B3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Руководящий ко</w:t>
            </w:r>
            <w:r w:rsidRPr="00692051">
              <w:rPr>
                <w:color w:val="FF0000"/>
              </w:rPr>
              <w:lastRenderedPageBreak/>
              <w:t>митет</w:t>
            </w:r>
          </w:p>
        </w:tc>
      </w:tr>
      <w:tr w:rsidR="00036397" w:rsidRPr="00692051" w14:paraId="3643E3D7" w14:textId="77777777" w:rsidTr="000A4FE0">
        <w:trPr>
          <w:trHeight w:val="1259"/>
        </w:trPr>
        <w:tc>
          <w:tcPr>
            <w:tcW w:w="2245" w:type="dxa"/>
          </w:tcPr>
          <w:p w14:paraId="155DBD44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lastRenderedPageBreak/>
              <w:t>Респонденты просят дать обратную связь о достижениях детей при оценке обучения или просят предоставить результаты анализа качества воды и т.д.</w:t>
            </w:r>
          </w:p>
        </w:tc>
        <w:tc>
          <w:tcPr>
            <w:tcW w:w="5760" w:type="dxa"/>
          </w:tcPr>
          <w:p w14:paraId="4832A142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В процессе получения информированного согласия интервьюеры четко объясняют, что они не могут обсуждать достижения детей при оценке обучения или результаты анализа качества воды. </w:t>
            </w:r>
          </w:p>
          <w:p w14:paraId="59614CB9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Однако информация о результатах анализа качества воды будет доступна общественности (указать детали).</w:t>
            </w:r>
          </w:p>
        </w:tc>
        <w:tc>
          <w:tcPr>
            <w:tcW w:w="1440" w:type="dxa"/>
          </w:tcPr>
          <w:p w14:paraId="04C936B1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Ведущие обучения</w:t>
            </w:r>
          </w:p>
        </w:tc>
      </w:tr>
      <w:tr w:rsidR="00036397" w:rsidRPr="00692051" w14:paraId="690FFB92" w14:textId="77777777" w:rsidTr="000A4FE0">
        <w:trPr>
          <w:trHeight w:val="720"/>
        </w:trPr>
        <w:tc>
          <w:tcPr>
            <w:tcW w:w="2245" w:type="dxa"/>
          </w:tcPr>
          <w:p w14:paraId="65888A24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Результаты анализа качества воды показывать высокий риск заражения.</w:t>
            </w:r>
          </w:p>
        </w:tc>
        <w:tc>
          <w:tcPr>
            <w:tcW w:w="5760" w:type="dxa"/>
          </w:tcPr>
          <w:p w14:paraId="42287B84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Существует четкий протокол для незамедлительной передачи результатов в соответствующие органы (указать детали).</w:t>
            </w:r>
          </w:p>
        </w:tc>
        <w:tc>
          <w:tcPr>
            <w:tcW w:w="1440" w:type="dxa"/>
          </w:tcPr>
          <w:p w14:paraId="26175B2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/ Национальный координатор MICS</w:t>
            </w:r>
          </w:p>
        </w:tc>
      </w:tr>
    </w:tbl>
    <w:p w14:paraId="2532F02D" w14:textId="77777777" w:rsidR="00036397" w:rsidRPr="00692051" w:rsidRDefault="00036397" w:rsidP="00414398"/>
    <w:p w14:paraId="2E34A38C" w14:textId="77777777" w:rsidR="00036397" w:rsidRPr="00692051" w:rsidRDefault="00036397" w:rsidP="00A81223">
      <w:pPr>
        <w:pStyle w:val="Heading2"/>
        <w:numPr>
          <w:ilvl w:val="0"/>
          <w:numId w:val="8"/>
        </w:numPr>
      </w:pPr>
      <w:r w:rsidRPr="00692051">
        <w:t>процессы набора респондентов и получения согласия</w:t>
      </w:r>
    </w:p>
    <w:p w14:paraId="34730A5A" w14:textId="556B7AB8" w:rsidR="00036397" w:rsidRPr="00692051" w:rsidRDefault="00036397" w:rsidP="001D36B1">
      <w:r w:rsidRPr="00692051">
        <w:t>Данный раздел определяет потенциальные этические риски и стратегии их смягчения, связанные с набором респондентов для обследования и получением информированного согласия. Например, сюда входит предоставление достаточной информации участникам для получения информированного согласия, получение согласия родителей для участия несовершеннолетних в обследовании или наличие соответствующих возрасту процедур получения согласия для несовершеннолетних.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5580"/>
        <w:gridCol w:w="1530"/>
      </w:tblGrid>
      <w:tr w:rsidR="00036397" w:rsidRPr="00692051" w14:paraId="5C86BC57" w14:textId="77777777" w:rsidTr="000A4FE0">
        <w:tc>
          <w:tcPr>
            <w:tcW w:w="2245" w:type="dxa"/>
            <w:shd w:val="clear" w:color="auto" w:fill="D9E2F3"/>
          </w:tcPr>
          <w:p w14:paraId="3C60E607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 xml:space="preserve">Риски </w:t>
            </w:r>
          </w:p>
        </w:tc>
        <w:tc>
          <w:tcPr>
            <w:tcW w:w="5580" w:type="dxa"/>
            <w:shd w:val="clear" w:color="auto" w:fill="D9E2F3"/>
          </w:tcPr>
          <w:p w14:paraId="6C657162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Стратегии по устранению рисков</w:t>
            </w:r>
          </w:p>
        </w:tc>
        <w:tc>
          <w:tcPr>
            <w:tcW w:w="1530" w:type="dxa"/>
            <w:shd w:val="clear" w:color="auto" w:fill="D9E2F3"/>
          </w:tcPr>
          <w:p w14:paraId="0ABBAA73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Координатор</w:t>
            </w:r>
          </w:p>
        </w:tc>
      </w:tr>
      <w:tr w:rsidR="00036397" w:rsidRPr="00692051" w14:paraId="13856594" w14:textId="77777777" w:rsidTr="000A4FE0">
        <w:tc>
          <w:tcPr>
            <w:tcW w:w="2245" w:type="dxa"/>
          </w:tcPr>
          <w:p w14:paraId="37F44925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Текст согласия не дает достаточно информации для получения информированного согласия от участников</w:t>
            </w:r>
          </w:p>
          <w:p w14:paraId="31A6EDBA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6BFAD7E0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1138AE61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5580" w:type="dxa"/>
          </w:tcPr>
          <w:p w14:paraId="46867869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Текст согласия включает информацию о</w:t>
            </w:r>
          </w:p>
          <w:p w14:paraId="2FC61E53" w14:textId="77777777" w:rsidR="00036397" w:rsidRPr="00692051" w:rsidRDefault="00036397" w:rsidP="000A4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Продолжительность обследования</w:t>
            </w:r>
          </w:p>
          <w:p w14:paraId="5E86293F" w14:textId="77777777" w:rsidR="00036397" w:rsidRPr="00692051" w:rsidRDefault="00036397" w:rsidP="000A4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Добровольность участия</w:t>
            </w:r>
          </w:p>
          <w:p w14:paraId="5BE94095" w14:textId="77777777" w:rsidR="00036397" w:rsidRPr="00692051" w:rsidRDefault="00036397" w:rsidP="000A4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Риски и преимущества</w:t>
            </w:r>
          </w:p>
          <w:p w14:paraId="1E5F8725" w14:textId="77777777" w:rsidR="00036397" w:rsidRPr="00692051" w:rsidRDefault="00036397" w:rsidP="000A4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Конфиденциальность (и исключения, связанные с обязательным сообщением о жестоком обращении)</w:t>
            </w:r>
          </w:p>
          <w:p w14:paraId="51D06950" w14:textId="77777777" w:rsidR="00036397" w:rsidRPr="00692051" w:rsidRDefault="00036397" w:rsidP="000A4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Возможность отказа отвечать на вопросы (т.е. респонденты не обязаны отвечать на все вопросы)</w:t>
            </w:r>
          </w:p>
        </w:tc>
        <w:tc>
          <w:tcPr>
            <w:tcW w:w="1530" w:type="dxa"/>
          </w:tcPr>
          <w:p w14:paraId="4364F7DB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ведущие обучения / Интервьюеры и руководители групп по работе на местах</w:t>
            </w:r>
          </w:p>
        </w:tc>
      </w:tr>
      <w:tr w:rsidR="00036397" w:rsidRPr="00692051" w14:paraId="268A9D66" w14:textId="77777777" w:rsidTr="000A4FE0">
        <w:tc>
          <w:tcPr>
            <w:tcW w:w="2245" w:type="dxa"/>
          </w:tcPr>
          <w:p w14:paraId="7F968A25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Номер телефона записывается без согласия лица </w:t>
            </w:r>
          </w:p>
        </w:tc>
        <w:tc>
          <w:tcPr>
            <w:tcW w:w="5580" w:type="dxa"/>
          </w:tcPr>
          <w:p w14:paraId="4D3EB429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Информацию о номере телефона необходимо получать у самого абонента, и человек должен давать ее добровольно.</w:t>
            </w:r>
          </w:p>
          <w:p w14:paraId="7992798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1530" w:type="dxa"/>
          </w:tcPr>
          <w:p w14:paraId="034C70A8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</w:tr>
      <w:tr w:rsidR="00036397" w:rsidRPr="00692051" w14:paraId="7BBB5725" w14:textId="77777777" w:rsidTr="000A4FE0">
        <w:tc>
          <w:tcPr>
            <w:tcW w:w="2245" w:type="dxa"/>
            <w:shd w:val="clear" w:color="auto" w:fill="FFFFFF"/>
          </w:tcPr>
          <w:p w14:paraId="2EC506A8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Не получено согласие родителя/лица, осуществляющего за ним уход, и (или) ребенка</w:t>
            </w:r>
          </w:p>
          <w:p w14:paraId="579D3924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45A5F950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Согласие ребенка не получено, хотя оно требуется в соответствии с законодательством</w:t>
            </w:r>
          </w:p>
        </w:tc>
        <w:tc>
          <w:tcPr>
            <w:tcW w:w="5580" w:type="dxa"/>
            <w:shd w:val="clear" w:color="auto" w:fill="FFFFFF"/>
          </w:tcPr>
          <w:p w14:paraId="0B5A46BC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Существуют четкие протоколы получения согласия родителя/взрослого и ребенка.</w:t>
            </w:r>
          </w:p>
          <w:p w14:paraId="21585784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552225CA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Существуют четкие протоколы получения информированного согласия у несовершеннолетнего, и они соответствуют национальному законодательству (если применимо).</w:t>
            </w:r>
          </w:p>
          <w:p w14:paraId="1A109120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089C2AD5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Согласие родителя/взрослого не требуется для интервьюирования подростков в возрасте от 15 до 17 лет, которые считаются "эмансипированными" (т.е. не живут с лицом, осуществляющим за ними уход).</w:t>
            </w:r>
          </w:p>
        </w:tc>
        <w:tc>
          <w:tcPr>
            <w:tcW w:w="1530" w:type="dxa"/>
            <w:shd w:val="clear" w:color="auto" w:fill="FFFFFF"/>
          </w:tcPr>
          <w:p w14:paraId="6A23D550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</w:tc>
      </w:tr>
    </w:tbl>
    <w:p w14:paraId="5D0B14A9" w14:textId="77777777" w:rsidR="00036397" w:rsidRPr="00692051" w:rsidRDefault="00036397" w:rsidP="00A81223"/>
    <w:p w14:paraId="0D2478BB" w14:textId="77777777" w:rsidR="00036397" w:rsidRPr="00692051" w:rsidRDefault="00036397" w:rsidP="00A81223">
      <w:pPr>
        <w:pStyle w:val="Heading2"/>
        <w:numPr>
          <w:ilvl w:val="0"/>
          <w:numId w:val="8"/>
        </w:numPr>
      </w:pPr>
      <w:r w:rsidRPr="00692051">
        <w:t>РИСКИ ДЛЯ ИНТЕРВЬЮЕРОВ</w:t>
      </w:r>
    </w:p>
    <w:p w14:paraId="4B384F89" w14:textId="77777777" w:rsidR="00036397" w:rsidRPr="00692051" w:rsidRDefault="00036397" w:rsidP="00FC5551">
      <w:r w:rsidRPr="00692051">
        <w:t xml:space="preserve">Данный раздел определяет потенциальные риски безопасности или риски, связанные со здоровьем, для интервьюеров в ходе работы на местах, а также стратегии по устранению этих рисков. Риски могут </w:t>
      </w:r>
      <w:r w:rsidRPr="00692051">
        <w:lastRenderedPageBreak/>
        <w:t>включать, например, потенциальные угрозы безопасности в пути на место работы или в ходе визитов в домохозяйства.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5580"/>
        <w:gridCol w:w="1530"/>
      </w:tblGrid>
      <w:tr w:rsidR="00036397" w:rsidRPr="00692051" w14:paraId="45FAFC45" w14:textId="77777777" w:rsidTr="000A4FE0">
        <w:tc>
          <w:tcPr>
            <w:tcW w:w="2245" w:type="dxa"/>
            <w:shd w:val="clear" w:color="auto" w:fill="D9E2F3"/>
          </w:tcPr>
          <w:p w14:paraId="4A501E0D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 xml:space="preserve">Риски </w:t>
            </w:r>
          </w:p>
        </w:tc>
        <w:tc>
          <w:tcPr>
            <w:tcW w:w="5580" w:type="dxa"/>
            <w:shd w:val="clear" w:color="auto" w:fill="D9E2F3"/>
          </w:tcPr>
          <w:p w14:paraId="7E9DA60C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Стратегии по устранению рисков</w:t>
            </w:r>
          </w:p>
        </w:tc>
        <w:tc>
          <w:tcPr>
            <w:tcW w:w="1530" w:type="dxa"/>
            <w:shd w:val="clear" w:color="auto" w:fill="D9E2F3"/>
          </w:tcPr>
          <w:p w14:paraId="00F80596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Координатор</w:t>
            </w:r>
          </w:p>
        </w:tc>
      </w:tr>
      <w:tr w:rsidR="00036397" w:rsidRPr="00692051" w14:paraId="2E8D205D" w14:textId="77777777" w:rsidTr="000A4FE0">
        <w:tc>
          <w:tcPr>
            <w:tcW w:w="2245" w:type="dxa"/>
          </w:tcPr>
          <w:p w14:paraId="48ACC66C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Потенциальные небезопасные условия на местах</w:t>
            </w:r>
          </w:p>
        </w:tc>
        <w:tc>
          <w:tcPr>
            <w:tcW w:w="5580" w:type="dxa"/>
          </w:tcPr>
          <w:p w14:paraId="2744FCFF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Если существует вероятность риска для интервьюера, то личный сбор данных прекращается до момента улучшения ситуации и восстановления безопасности.</w:t>
            </w:r>
          </w:p>
          <w:p w14:paraId="1CAA7B5C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534B3F27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Существуют четкие протоколы для защиты интервьюеров и персонала, работающего на местах, в ходе работы на местах и рекомендации по безопасности в ходе визитов в домохозяйства (например, работа в парах или нахождение руководителей в зоне видимости или проверка ими интервьюеров), и они рассматриваются в ходе обучения.</w:t>
            </w:r>
          </w:p>
        </w:tc>
        <w:tc>
          <w:tcPr>
            <w:tcW w:w="1530" w:type="dxa"/>
          </w:tcPr>
          <w:p w14:paraId="08C2A6FE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ведущие обучения / Интервьюеры и руководители групп по работе на местах</w:t>
            </w:r>
          </w:p>
        </w:tc>
      </w:tr>
    </w:tbl>
    <w:p w14:paraId="771F4B33" w14:textId="77777777" w:rsidR="00036397" w:rsidRPr="00692051" w:rsidRDefault="00036397" w:rsidP="00A81223"/>
    <w:p w14:paraId="0694E54F" w14:textId="77777777" w:rsidR="00036397" w:rsidRPr="00692051" w:rsidRDefault="00036397" w:rsidP="00A81223">
      <w:pPr>
        <w:pStyle w:val="Heading2"/>
        <w:numPr>
          <w:ilvl w:val="0"/>
          <w:numId w:val="8"/>
        </w:numPr>
      </w:pPr>
      <w:r w:rsidRPr="00692051">
        <w:t>КОНФИДЕНЦИАЛЬНОСТЬ</w:t>
      </w:r>
    </w:p>
    <w:p w14:paraId="192DABE4" w14:textId="68281EB2" w:rsidR="00036397" w:rsidRPr="00692051" w:rsidRDefault="00036397" w:rsidP="002B6106">
      <w:r w:rsidRPr="00692051">
        <w:t>Согласие лиц на участие в обследовании при условии, что информация, которой они поделятся в ходе интервью, будет сохраняться в конфиденциальности. Случайные или намеренные нарушения конфиденциальности подрывают доверие к обследованиям и проводящим их учреждениям и могут нанести вред респондентам. Конфиденциальность также крайне важна для качества данных: респонденты, вероятно, будут говорить более спокойно и предоставлять более достоверную информацию, если интервью будут проводиться на условиях конфиденциальности. Данный раздел определяет потенциальные риски обеспечения конфиденциальности информации, предоставляемой респондентами, и конфиденциальных условий проведения интервью. Он также описывает потенциальные стратегии снижения возможности идентификации респондента в микроданных перед публикацией.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5695"/>
        <w:gridCol w:w="1506"/>
      </w:tblGrid>
      <w:tr w:rsidR="00036397" w:rsidRPr="00692051" w14:paraId="00ED9A2A" w14:textId="77777777" w:rsidTr="000A4FE0">
        <w:tc>
          <w:tcPr>
            <w:tcW w:w="2245" w:type="dxa"/>
            <w:shd w:val="clear" w:color="auto" w:fill="D9E2F3"/>
          </w:tcPr>
          <w:p w14:paraId="08281968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 xml:space="preserve">Риски </w:t>
            </w:r>
          </w:p>
        </w:tc>
        <w:tc>
          <w:tcPr>
            <w:tcW w:w="5760" w:type="dxa"/>
            <w:shd w:val="clear" w:color="auto" w:fill="D9E2F3"/>
          </w:tcPr>
          <w:p w14:paraId="05635A84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Стратегии по устранению рисков</w:t>
            </w:r>
          </w:p>
        </w:tc>
        <w:tc>
          <w:tcPr>
            <w:tcW w:w="1440" w:type="dxa"/>
            <w:shd w:val="clear" w:color="auto" w:fill="D9E2F3"/>
          </w:tcPr>
          <w:p w14:paraId="4F94221D" w14:textId="77777777" w:rsidR="00036397" w:rsidRPr="00692051" w:rsidRDefault="00036397" w:rsidP="000A4FE0">
            <w:pPr>
              <w:spacing w:before="0" w:after="0" w:line="240" w:lineRule="auto"/>
            </w:pPr>
            <w:r w:rsidRPr="00692051">
              <w:t>Координатор</w:t>
            </w:r>
          </w:p>
        </w:tc>
      </w:tr>
      <w:tr w:rsidR="00036397" w:rsidRPr="00692051" w14:paraId="3A1E33A1" w14:textId="77777777" w:rsidTr="000A4FE0">
        <w:trPr>
          <w:trHeight w:val="3888"/>
        </w:trPr>
        <w:tc>
          <w:tcPr>
            <w:tcW w:w="2245" w:type="dxa"/>
          </w:tcPr>
          <w:p w14:paraId="363FF8C0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Невозможно обеспечить конфиденциальность в ходе интервью</w:t>
            </w:r>
          </w:p>
          <w:p w14:paraId="4F36C02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0275AA41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Абсолютная конфиденциальность не может быть обеспечена в ходе высокочувствительных разделов интервью </w:t>
            </w:r>
          </w:p>
          <w:p w14:paraId="7711212E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2279E012" w14:textId="4201D6B8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(Примечание: Конфиденциальность означает, что в непосредственной близости нет лиц в возрасте от 13 лет и старше/такое лицо не может подслушать разговор)</w:t>
            </w:r>
          </w:p>
        </w:tc>
        <w:tc>
          <w:tcPr>
            <w:tcW w:w="5760" w:type="dxa"/>
            <w:shd w:val="clear" w:color="auto" w:fill="FFFFFF"/>
          </w:tcPr>
          <w:p w14:paraId="3895CAE3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Интервьюеры проходят обучение тому, как обеспечить конфиденциальность, и как справляться с вмешательствами в ходе интервью. </w:t>
            </w:r>
          </w:p>
          <w:p w14:paraId="659530B8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Интервьюеры четко разъясняют респондентам, что для проведения обследования другие члены домохозяйства не могут находиться в зоне слышимости. </w:t>
            </w:r>
          </w:p>
          <w:p w14:paraId="277ADCE9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При интервьюировании детей интервьюеры попросят найти место в доме, где их может видеть взрослый, знакомый ребенку, но не может слышать.</w:t>
            </w:r>
          </w:p>
          <w:p w14:paraId="2F7996DC" w14:textId="77777777" w:rsidR="00036397" w:rsidRPr="00692051" w:rsidRDefault="00036397" w:rsidP="000A4FE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Прежде чем задавать вопросы на высокочувствительные темы, такие как (вставьте высокочувствительные темы, входящие в обследование, например, сексуальное поведение, ВИЧ/СПИД, домашнее насилие или психическое здоровье), интервьюеры упоминают о характере вопросов и спрашивают респондентов, согласны ли они продолжить интервью. Если в ходе интервью на высокочувствительные темы невозможно гарантировать абсолютную конфиденциальность, интервьюер не будет продолжать интервью и попросит респондента назначить другое время.</w:t>
            </w:r>
          </w:p>
        </w:tc>
        <w:tc>
          <w:tcPr>
            <w:tcW w:w="1440" w:type="dxa"/>
          </w:tcPr>
          <w:p w14:paraId="669D42F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Национальный координатор MICS / Ведущие обучения / Интервьюеры</w:t>
            </w:r>
          </w:p>
        </w:tc>
      </w:tr>
      <w:tr w:rsidR="00036397" w:rsidRPr="00692051" w14:paraId="01C2F8DA" w14:textId="77777777" w:rsidTr="000A4FE0">
        <w:tc>
          <w:tcPr>
            <w:tcW w:w="2245" w:type="dxa"/>
          </w:tcPr>
          <w:p w14:paraId="33AF68AD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Нарушение конфиденциальности </w:t>
            </w:r>
          </w:p>
          <w:p w14:paraId="6B4F8FBC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664A05CC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40CD4F88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1F70E7E1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497C638D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lastRenderedPageBreak/>
              <w:t>Печатные экземпляры вопросников или файлы с данными, включая идентификаторы лица и домохозяйства, помещены в ненадлежащее место или к ним имеют доступ лица, не входящие в группу обследования</w:t>
            </w:r>
          </w:p>
          <w:p w14:paraId="4403F6A2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</w:p>
          <w:p w14:paraId="67197998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Микроданные не обезличены надлежащим образом до публичного распространения.</w:t>
            </w:r>
          </w:p>
        </w:tc>
        <w:tc>
          <w:tcPr>
            <w:tcW w:w="5760" w:type="dxa"/>
          </w:tcPr>
          <w:p w14:paraId="575AA6C4" w14:textId="77777777" w:rsidR="00036397" w:rsidRPr="00692051" w:rsidRDefault="00036397" w:rsidP="000A4FE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color w:val="FF0000"/>
              </w:rPr>
            </w:pPr>
            <w:r w:rsidRPr="00692051">
              <w:rPr>
                <w:color w:val="FF0000"/>
              </w:rPr>
              <w:lastRenderedPageBreak/>
              <w:t>Интервьюеры проходят обучение по вопросам конфиденциальности, включая запрет делиться информацией, которой поделились респонденты в ходе интервью, с лицами, не входящими в группу обследования (см. исключение, касающееся обязанности сообщать о жестоком обращении, в разделе 1).</w:t>
            </w:r>
          </w:p>
          <w:p w14:paraId="4BBC9248" w14:textId="77777777" w:rsidR="00036397" w:rsidRPr="00692051" w:rsidRDefault="00036397" w:rsidP="000A4FE0">
            <w:pPr>
              <w:spacing w:before="0" w:after="0" w:line="240" w:lineRule="auto"/>
              <w:jc w:val="both"/>
              <w:rPr>
                <w:color w:val="FF0000"/>
              </w:rPr>
            </w:pPr>
          </w:p>
          <w:p w14:paraId="1C44AF46" w14:textId="77777777" w:rsidR="00036397" w:rsidRPr="00692051" w:rsidRDefault="00036397" w:rsidP="000A4FE0">
            <w:pPr>
              <w:spacing w:before="0" w:after="0" w:line="240" w:lineRule="auto"/>
              <w:jc w:val="both"/>
              <w:rPr>
                <w:color w:val="FF0000"/>
              </w:rPr>
            </w:pPr>
          </w:p>
          <w:p w14:paraId="1204BF1D" w14:textId="77777777" w:rsidR="00036397" w:rsidRPr="00692051" w:rsidRDefault="00036397" w:rsidP="000A4FE0">
            <w:pPr>
              <w:spacing w:before="0" w:after="0" w:line="240" w:lineRule="auto"/>
              <w:jc w:val="both"/>
              <w:rPr>
                <w:color w:val="FF0000"/>
              </w:rPr>
            </w:pPr>
          </w:p>
          <w:p w14:paraId="5B24753B" w14:textId="1EF117EF" w:rsidR="00036397" w:rsidRPr="00692051" w:rsidRDefault="00036397" w:rsidP="000A4FE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360"/>
              <w:jc w:val="both"/>
              <w:rPr>
                <w:color w:val="FF0000"/>
              </w:rPr>
            </w:pPr>
            <w:r w:rsidRPr="00692051">
              <w:rPr>
                <w:color w:val="FF0000"/>
              </w:rPr>
              <w:t>Печатные экземпляры заполненных вопросников хранятся в безопасном месте в закрытом ящике и уничтожаются через три года.</w:t>
            </w:r>
          </w:p>
          <w:p w14:paraId="20B22D08" w14:textId="77777777" w:rsidR="00036397" w:rsidRPr="00692051" w:rsidRDefault="00036397" w:rsidP="000A4FE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color w:val="FF0000"/>
              </w:rPr>
            </w:pPr>
            <w:r w:rsidRPr="00692051">
              <w:rPr>
                <w:color w:val="FF0000"/>
              </w:rPr>
              <w:t>Файлы с данными, содержащие персональные идентификаторы, хранятся на защищенных паролем компьютерах.</w:t>
            </w:r>
          </w:p>
          <w:p w14:paraId="6E764227" w14:textId="77777777" w:rsidR="00036397" w:rsidRPr="00692051" w:rsidRDefault="00036397" w:rsidP="000A4FE0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360"/>
              <w:rPr>
                <w:color w:val="FF0000"/>
              </w:rPr>
            </w:pPr>
            <w:r w:rsidRPr="00692051">
              <w:rPr>
                <w:color w:val="FF0000"/>
              </w:rPr>
              <w:t xml:space="preserve">(Ссылка на статью II МоВ об обезличивании данных и обработке и обмене микроданными) </w:t>
            </w:r>
          </w:p>
        </w:tc>
        <w:tc>
          <w:tcPr>
            <w:tcW w:w="1440" w:type="dxa"/>
          </w:tcPr>
          <w:p w14:paraId="49D4BF7D" w14:textId="77777777" w:rsidR="00036397" w:rsidRPr="00692051" w:rsidRDefault="00036397" w:rsidP="000A4FE0">
            <w:p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lastRenderedPageBreak/>
              <w:t xml:space="preserve">Национальный координатор MICS / Руководящий комитет / Ведущие обучения </w:t>
            </w:r>
            <w:r w:rsidRPr="00692051">
              <w:rPr>
                <w:color w:val="FF0000"/>
              </w:rPr>
              <w:lastRenderedPageBreak/>
              <w:t xml:space="preserve">/ Интервьюеры </w:t>
            </w:r>
          </w:p>
        </w:tc>
      </w:tr>
    </w:tbl>
    <w:p w14:paraId="2FD17FE3" w14:textId="77777777" w:rsidR="00036397" w:rsidRPr="00692051" w:rsidRDefault="00036397" w:rsidP="00A81223"/>
    <w:p w14:paraId="13240641" w14:textId="77777777" w:rsidR="00036397" w:rsidRPr="00692051" w:rsidRDefault="00036397" w:rsidP="00A81223">
      <w:pPr>
        <w:pStyle w:val="Heading2"/>
        <w:numPr>
          <w:ilvl w:val="0"/>
          <w:numId w:val="8"/>
        </w:numPr>
      </w:pPr>
      <w:r w:rsidRPr="00692051">
        <w:t>УПРАВЛЕНИЕ ЖАЛОБАМИ И ОПАСЕНИЯМИ УЧАСТНИКОВ</w:t>
      </w:r>
    </w:p>
    <w:p w14:paraId="6810AD79" w14:textId="77777777" w:rsidR="00036397" w:rsidRPr="00692051" w:rsidRDefault="00036397" w:rsidP="00A81223">
      <w:r w:rsidRPr="00692051">
        <w:t>Данный раздел определяет ожидаемые опасения респондентов и устанавливает протоколы по работе с ними.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5580"/>
        <w:gridCol w:w="1530"/>
      </w:tblGrid>
      <w:tr w:rsidR="00B17571" w:rsidRPr="00692051" w14:paraId="2D8464C4" w14:textId="77777777" w:rsidTr="00455EB0">
        <w:tc>
          <w:tcPr>
            <w:tcW w:w="2245" w:type="dxa"/>
            <w:shd w:val="clear" w:color="auto" w:fill="D9E2F3"/>
          </w:tcPr>
          <w:p w14:paraId="4F66C73E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</w:pPr>
            <w:r w:rsidRPr="00692051">
              <w:t xml:space="preserve">Риски </w:t>
            </w:r>
          </w:p>
        </w:tc>
        <w:tc>
          <w:tcPr>
            <w:tcW w:w="5580" w:type="dxa"/>
            <w:shd w:val="clear" w:color="auto" w:fill="D9E2F3"/>
          </w:tcPr>
          <w:p w14:paraId="34F6652C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</w:pPr>
            <w:r w:rsidRPr="00692051">
              <w:t>Стратегии по устранению рисков</w:t>
            </w:r>
          </w:p>
        </w:tc>
        <w:tc>
          <w:tcPr>
            <w:tcW w:w="1530" w:type="dxa"/>
            <w:shd w:val="clear" w:color="auto" w:fill="D9E2F3"/>
          </w:tcPr>
          <w:p w14:paraId="6B94260B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</w:pPr>
            <w:r w:rsidRPr="00692051">
              <w:t>Координатор</w:t>
            </w:r>
          </w:p>
        </w:tc>
      </w:tr>
      <w:tr w:rsidR="00B17571" w:rsidRPr="00692051" w14:paraId="136CA326" w14:textId="77777777" w:rsidTr="00455EB0">
        <w:tc>
          <w:tcPr>
            <w:tcW w:w="2245" w:type="dxa"/>
          </w:tcPr>
          <w:p w14:paraId="4B1A74EA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Опасения или жалобы респондентов обследования или сообществ </w:t>
            </w:r>
          </w:p>
          <w:p w14:paraId="51041A4F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5580" w:type="dxa"/>
          </w:tcPr>
          <w:p w14:paraId="257238B8" w14:textId="77777777" w:rsidR="00B17571" w:rsidRPr="00692051" w:rsidRDefault="00B17571" w:rsidP="00455EB0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Интервьюеры проходят обучение по работе с типичными жалобами и вопросами.</w:t>
            </w:r>
          </w:p>
          <w:p w14:paraId="29F6B387" w14:textId="77777777" w:rsidR="00B17571" w:rsidRPr="00692051" w:rsidRDefault="00B17571" w:rsidP="00455EB0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Для групп по работе на местах будет назначено контактное лицо по вопросам жалоб и для определения подхода к устранению опасений.</w:t>
            </w:r>
          </w:p>
          <w:p w14:paraId="7851FCDC" w14:textId="77777777" w:rsidR="00B17571" w:rsidRPr="00692051" w:rsidRDefault="00B17571" w:rsidP="00455EB0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(Если применимо) Участникам и сообществам будет предоставляться информацию о контактных данных координатора по вопросам опасений или жалоб.</w:t>
            </w:r>
          </w:p>
        </w:tc>
        <w:tc>
          <w:tcPr>
            <w:tcW w:w="1530" w:type="dxa"/>
          </w:tcPr>
          <w:p w14:paraId="7C5E7450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 xml:space="preserve">Интервьюеры / Национальный координатор MICS / </w:t>
            </w:r>
          </w:p>
          <w:p w14:paraId="4EA10C96" w14:textId="77777777" w:rsidR="00B17571" w:rsidRPr="00692051" w:rsidRDefault="00B17571" w:rsidP="00455EB0">
            <w:pPr>
              <w:keepNext/>
              <w:keepLines/>
              <w:spacing w:before="0" w:after="0" w:line="240" w:lineRule="auto"/>
              <w:rPr>
                <w:color w:val="FF0000"/>
              </w:rPr>
            </w:pPr>
            <w:r w:rsidRPr="00692051">
              <w:rPr>
                <w:color w:val="FF0000"/>
              </w:rPr>
              <w:t>Назначенный координатор по вопросам жалоб</w:t>
            </w:r>
          </w:p>
        </w:tc>
      </w:tr>
    </w:tbl>
    <w:p w14:paraId="1B011051" w14:textId="77777777" w:rsidR="00036397" w:rsidRDefault="00036397"/>
    <w:p w14:paraId="71651B52" w14:textId="77777777" w:rsidR="00036397" w:rsidRPr="00692051" w:rsidRDefault="00036397" w:rsidP="00B17571"/>
    <w:sectPr w:rsidR="00036397" w:rsidRPr="00692051" w:rsidSect="00F361BC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08E0" w14:textId="77777777" w:rsidR="00E93228" w:rsidRDefault="00E93228" w:rsidP="00583C3D">
      <w:pPr>
        <w:spacing w:before="0" w:after="0" w:line="240" w:lineRule="auto"/>
      </w:pPr>
      <w:r>
        <w:separator/>
      </w:r>
    </w:p>
  </w:endnote>
  <w:endnote w:type="continuationSeparator" w:id="0">
    <w:p w14:paraId="26DA4E73" w14:textId="77777777" w:rsidR="00E93228" w:rsidRDefault="00E93228" w:rsidP="00583C3D">
      <w:pPr>
        <w:spacing w:before="0" w:after="0" w:line="240" w:lineRule="auto"/>
      </w:pPr>
      <w:r>
        <w:continuationSeparator/>
      </w:r>
    </w:p>
  </w:endnote>
  <w:endnote w:type="continuationNotice" w:id="1">
    <w:p w14:paraId="49C32E5D" w14:textId="77777777" w:rsidR="00E93228" w:rsidRDefault="00E932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4D0F" w14:textId="77777777" w:rsidR="00036397" w:rsidRPr="00E07E24" w:rsidRDefault="00036397" w:rsidP="00E0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7CD0" w14:textId="77777777" w:rsidR="00E93228" w:rsidRDefault="00E93228" w:rsidP="00583C3D">
      <w:pPr>
        <w:spacing w:before="0" w:after="0" w:line="240" w:lineRule="auto"/>
      </w:pPr>
      <w:r>
        <w:separator/>
      </w:r>
    </w:p>
  </w:footnote>
  <w:footnote w:type="continuationSeparator" w:id="0">
    <w:p w14:paraId="07CDF1C5" w14:textId="77777777" w:rsidR="00E93228" w:rsidRDefault="00E93228" w:rsidP="00583C3D">
      <w:pPr>
        <w:spacing w:before="0" w:after="0" w:line="240" w:lineRule="auto"/>
      </w:pPr>
      <w:r>
        <w:continuationSeparator/>
      </w:r>
    </w:p>
  </w:footnote>
  <w:footnote w:type="continuationNotice" w:id="1">
    <w:p w14:paraId="3B23A705" w14:textId="77777777" w:rsidR="00E93228" w:rsidRDefault="00E9322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A8FC" w14:textId="77777777" w:rsidR="00036397" w:rsidRDefault="0003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99"/>
    <w:multiLevelType w:val="hybridMultilevel"/>
    <w:tmpl w:val="F522C086"/>
    <w:lvl w:ilvl="0" w:tplc="FFFFFFFF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046EAA"/>
    <w:multiLevelType w:val="hybridMultilevel"/>
    <w:tmpl w:val="96907D7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94422B"/>
    <w:multiLevelType w:val="hybridMultilevel"/>
    <w:tmpl w:val="4BA2F5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07190"/>
    <w:multiLevelType w:val="hybridMultilevel"/>
    <w:tmpl w:val="EFA2ACD0"/>
    <w:lvl w:ilvl="0" w:tplc="FFFFFFFF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5A3A99"/>
    <w:multiLevelType w:val="hybridMultilevel"/>
    <w:tmpl w:val="951CC0B4"/>
    <w:lvl w:ilvl="0" w:tplc="FFFFFFFF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7BA4E81"/>
    <w:multiLevelType w:val="hybridMultilevel"/>
    <w:tmpl w:val="9C3AF3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62F2"/>
    <w:multiLevelType w:val="hybridMultilevel"/>
    <w:tmpl w:val="A18E4A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C38F9"/>
    <w:multiLevelType w:val="hybridMultilevel"/>
    <w:tmpl w:val="4BA2F5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3F1193"/>
    <w:multiLevelType w:val="hybridMultilevel"/>
    <w:tmpl w:val="96907D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52855"/>
    <w:multiLevelType w:val="hybridMultilevel"/>
    <w:tmpl w:val="CF06AE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79A1"/>
    <w:multiLevelType w:val="hybridMultilevel"/>
    <w:tmpl w:val="B908DA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3A0095"/>
    <w:multiLevelType w:val="hybridMultilevel"/>
    <w:tmpl w:val="0BC6EE28"/>
    <w:lvl w:ilvl="0" w:tplc="FFFFFFFF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78CE"/>
    <w:multiLevelType w:val="hybridMultilevel"/>
    <w:tmpl w:val="7AB4D2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56739"/>
    <w:multiLevelType w:val="hybridMultilevel"/>
    <w:tmpl w:val="7CD8CA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261BE"/>
    <w:multiLevelType w:val="hybridMultilevel"/>
    <w:tmpl w:val="09F0B1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B63EA"/>
    <w:multiLevelType w:val="hybridMultilevel"/>
    <w:tmpl w:val="9216FAD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019817">
    <w:abstractNumId w:val="12"/>
  </w:num>
  <w:num w:numId="2" w16cid:durableId="547381609">
    <w:abstractNumId w:val="10"/>
  </w:num>
  <w:num w:numId="3" w16cid:durableId="520168477">
    <w:abstractNumId w:val="4"/>
  </w:num>
  <w:num w:numId="4" w16cid:durableId="1941454171">
    <w:abstractNumId w:val="0"/>
  </w:num>
  <w:num w:numId="5" w16cid:durableId="912352910">
    <w:abstractNumId w:val="9"/>
  </w:num>
  <w:num w:numId="6" w16cid:durableId="91167650">
    <w:abstractNumId w:val="5"/>
  </w:num>
  <w:num w:numId="7" w16cid:durableId="999044852">
    <w:abstractNumId w:val="7"/>
  </w:num>
  <w:num w:numId="8" w16cid:durableId="1323195911">
    <w:abstractNumId w:val="1"/>
  </w:num>
  <w:num w:numId="9" w16cid:durableId="690955760">
    <w:abstractNumId w:val="8"/>
  </w:num>
  <w:num w:numId="10" w16cid:durableId="1119572399">
    <w:abstractNumId w:val="15"/>
  </w:num>
  <w:num w:numId="11" w16cid:durableId="846406948">
    <w:abstractNumId w:val="13"/>
  </w:num>
  <w:num w:numId="12" w16cid:durableId="2131781293">
    <w:abstractNumId w:val="6"/>
  </w:num>
  <w:num w:numId="13" w16cid:durableId="1223831965">
    <w:abstractNumId w:val="14"/>
  </w:num>
  <w:num w:numId="14" w16cid:durableId="1489857998">
    <w:abstractNumId w:val="2"/>
  </w:num>
  <w:num w:numId="15" w16cid:durableId="1915119546">
    <w:abstractNumId w:val="11"/>
  </w:num>
  <w:num w:numId="16" w16cid:durableId="1493764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zAyNTcxMjQyMrBQ0lEKTi0uzszPAykwrAUACQy1jSwAAAA="/>
  </w:docVars>
  <w:rsids>
    <w:rsidRoot w:val="00F361BC"/>
    <w:rsid w:val="00036397"/>
    <w:rsid w:val="00086D32"/>
    <w:rsid w:val="000A4FE0"/>
    <w:rsid w:val="001C28E3"/>
    <w:rsid w:val="001D36B1"/>
    <w:rsid w:val="002A27A3"/>
    <w:rsid w:val="002B6106"/>
    <w:rsid w:val="002F2683"/>
    <w:rsid w:val="002F3402"/>
    <w:rsid w:val="00314A4B"/>
    <w:rsid w:val="00316742"/>
    <w:rsid w:val="00414398"/>
    <w:rsid w:val="00535B82"/>
    <w:rsid w:val="00552F19"/>
    <w:rsid w:val="00583C3D"/>
    <w:rsid w:val="005F15E5"/>
    <w:rsid w:val="00692051"/>
    <w:rsid w:val="009C0417"/>
    <w:rsid w:val="009E757D"/>
    <w:rsid w:val="00A81223"/>
    <w:rsid w:val="00AA021D"/>
    <w:rsid w:val="00B17571"/>
    <w:rsid w:val="00B378D6"/>
    <w:rsid w:val="00DB5486"/>
    <w:rsid w:val="00E07E24"/>
    <w:rsid w:val="00E4196E"/>
    <w:rsid w:val="00E93228"/>
    <w:rsid w:val="00EA7AF9"/>
    <w:rsid w:val="00EE17AD"/>
    <w:rsid w:val="00F361BC"/>
    <w:rsid w:val="00F707D3"/>
    <w:rsid w:val="00FC4B60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0D921"/>
  <w15:docId w15:val="{44785DBB-A8C6-43DA-A615-0BE7103C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1D"/>
    <w:pPr>
      <w:spacing w:before="100"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21D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21D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21D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21D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21D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021D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021D"/>
    <w:pPr>
      <w:spacing w:before="200" w:after="0"/>
      <w:outlineLvl w:val="6"/>
    </w:pPr>
    <w:rPr>
      <w:caps/>
      <w:color w:val="2F5496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02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02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021D"/>
    <w:rPr>
      <w:rFonts w:cs="Times New Roman"/>
      <w:caps/>
      <w:color w:val="FFFFFF"/>
      <w:spacing w:val="15"/>
      <w:sz w:val="22"/>
      <w:szCs w:val="22"/>
      <w:shd w:val="clear" w:color="000000" w:fill="0000FF"/>
      <w:lang w:val="ru-RU" w:eastAsia="ru-RU"/>
    </w:rPr>
  </w:style>
  <w:style w:type="character" w:customStyle="1" w:styleId="Heading2Char">
    <w:name w:val="Heading 2 Char"/>
    <w:link w:val="Heading2"/>
    <w:uiPriority w:val="99"/>
    <w:locked/>
    <w:rsid w:val="00AA021D"/>
    <w:rPr>
      <w:rFonts w:cs="Times New Roman"/>
      <w:caps/>
      <w:spacing w:val="15"/>
      <w:shd w:val="clear" w:color="000000" w:fill="auto"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AA021D"/>
    <w:rPr>
      <w:rFonts w:cs="Times New Roman"/>
      <w:caps/>
      <w:color w:val="1F3763"/>
      <w:spacing w:val="15"/>
      <w:lang w:val="ru-RU" w:eastAsia="ru-RU"/>
    </w:rPr>
  </w:style>
  <w:style w:type="character" w:customStyle="1" w:styleId="Heading4Char">
    <w:name w:val="Heading 4 Char"/>
    <w:link w:val="Heading4"/>
    <w:uiPriority w:val="99"/>
    <w:semiHidden/>
    <w:locked/>
    <w:rsid w:val="00AA021D"/>
    <w:rPr>
      <w:rFonts w:cs="Times New Roman"/>
      <w:caps/>
      <w:color w:val="2F5496"/>
      <w:spacing w:val="10"/>
      <w:lang w:val="ru-RU" w:eastAsia="ru-RU"/>
    </w:rPr>
  </w:style>
  <w:style w:type="character" w:customStyle="1" w:styleId="Heading5Char">
    <w:name w:val="Heading 5 Char"/>
    <w:link w:val="Heading5"/>
    <w:uiPriority w:val="99"/>
    <w:semiHidden/>
    <w:locked/>
    <w:rsid w:val="00AA021D"/>
    <w:rPr>
      <w:rFonts w:cs="Times New Roman"/>
      <w:caps/>
      <w:color w:val="2F5496"/>
      <w:spacing w:val="10"/>
      <w:lang w:val="ru-RU" w:eastAsia="ru-RU"/>
    </w:rPr>
  </w:style>
  <w:style w:type="character" w:customStyle="1" w:styleId="Heading6Char">
    <w:name w:val="Heading 6 Char"/>
    <w:link w:val="Heading6"/>
    <w:uiPriority w:val="99"/>
    <w:semiHidden/>
    <w:locked/>
    <w:rsid w:val="00AA021D"/>
    <w:rPr>
      <w:rFonts w:cs="Times New Roman"/>
      <w:caps/>
      <w:color w:val="2F5496"/>
      <w:spacing w:val="10"/>
      <w:lang w:val="ru-RU" w:eastAsia="ru-RU"/>
    </w:rPr>
  </w:style>
  <w:style w:type="character" w:customStyle="1" w:styleId="Heading7Char">
    <w:name w:val="Heading 7 Char"/>
    <w:link w:val="Heading7"/>
    <w:uiPriority w:val="99"/>
    <w:semiHidden/>
    <w:locked/>
    <w:rsid w:val="00AA021D"/>
    <w:rPr>
      <w:rFonts w:cs="Times New Roman"/>
      <w:caps/>
      <w:color w:val="2F5496"/>
      <w:spacing w:val="10"/>
      <w:lang w:val="ru-RU" w:eastAsia="ru-RU"/>
    </w:rPr>
  </w:style>
  <w:style w:type="character" w:customStyle="1" w:styleId="Heading8Char">
    <w:name w:val="Heading 8 Char"/>
    <w:link w:val="Heading8"/>
    <w:uiPriority w:val="99"/>
    <w:semiHidden/>
    <w:locked/>
    <w:rsid w:val="00AA021D"/>
    <w:rPr>
      <w:rFonts w:cs="Times New Roman"/>
      <w:caps/>
      <w:spacing w:val="10"/>
      <w:sz w:val="18"/>
      <w:szCs w:val="18"/>
      <w:lang w:val="ru-RU" w:eastAsia="ru-RU"/>
    </w:rPr>
  </w:style>
  <w:style w:type="character" w:customStyle="1" w:styleId="Heading9Char">
    <w:name w:val="Heading 9 Char"/>
    <w:link w:val="Heading9"/>
    <w:uiPriority w:val="99"/>
    <w:semiHidden/>
    <w:locked/>
    <w:rsid w:val="00AA021D"/>
    <w:rPr>
      <w:rFonts w:cs="Times New Roman"/>
      <w:i/>
      <w:iCs/>
      <w:caps/>
      <w:spacing w:val="10"/>
      <w:sz w:val="18"/>
      <w:szCs w:val="18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A021D"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A021D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A021D"/>
    <w:rPr>
      <w:rFonts w:ascii="Calibri Light" w:hAnsi="Calibri Light" w:cs="Times New Roman"/>
      <w:caps/>
      <w:color w:val="4472C4"/>
      <w:spacing w:val="10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021D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99"/>
    <w:locked/>
    <w:rsid w:val="00AA021D"/>
    <w:rPr>
      <w:rFonts w:cs="Times New Roman"/>
      <w:caps/>
      <w:color w:val="595959"/>
      <w:spacing w:val="10"/>
      <w:sz w:val="21"/>
      <w:szCs w:val="21"/>
      <w:lang w:val="ru-RU" w:eastAsia="ru-RU"/>
    </w:rPr>
  </w:style>
  <w:style w:type="character" w:styleId="Strong">
    <w:name w:val="Strong"/>
    <w:uiPriority w:val="99"/>
    <w:qFormat/>
    <w:rsid w:val="00AA021D"/>
    <w:rPr>
      <w:rFonts w:cs="Times New Roman"/>
      <w:b/>
      <w:lang w:val="ru-RU" w:eastAsia="ru-RU"/>
    </w:rPr>
  </w:style>
  <w:style w:type="character" w:styleId="Emphasis">
    <w:name w:val="Emphasis"/>
    <w:uiPriority w:val="99"/>
    <w:qFormat/>
    <w:rsid w:val="00AA021D"/>
    <w:rPr>
      <w:rFonts w:cs="Times New Roman"/>
      <w:caps/>
      <w:color w:val="1F3763"/>
      <w:spacing w:val="5"/>
      <w:lang w:val="ru-RU" w:eastAsia="ru-RU"/>
    </w:rPr>
  </w:style>
  <w:style w:type="paragraph" w:styleId="NoSpacing">
    <w:name w:val="No Spacing"/>
    <w:uiPriority w:val="99"/>
    <w:qFormat/>
    <w:rsid w:val="00AA021D"/>
    <w:pPr>
      <w:spacing w:before="100"/>
    </w:pPr>
    <w:rPr>
      <w:lang w:val="ru-RU"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AA021D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AA021D"/>
    <w:rPr>
      <w:rFonts w:cs="Times New Roman"/>
      <w:i/>
      <w:iCs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021D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AA021D"/>
    <w:rPr>
      <w:rFonts w:cs="Times New Roman"/>
      <w:color w:val="4472C4"/>
      <w:sz w:val="24"/>
      <w:szCs w:val="24"/>
      <w:lang w:val="ru-RU" w:eastAsia="ru-RU"/>
    </w:rPr>
  </w:style>
  <w:style w:type="character" w:styleId="SubtleEmphasis">
    <w:name w:val="Subtle Emphasis"/>
    <w:uiPriority w:val="99"/>
    <w:qFormat/>
    <w:rsid w:val="00AA021D"/>
    <w:rPr>
      <w:rFonts w:cs="Times New Roman"/>
      <w:i/>
      <w:color w:val="1F3763"/>
      <w:lang w:val="ru-RU" w:eastAsia="ru-RU"/>
    </w:rPr>
  </w:style>
  <w:style w:type="character" w:styleId="IntenseEmphasis">
    <w:name w:val="Intense Emphasis"/>
    <w:uiPriority w:val="99"/>
    <w:qFormat/>
    <w:rsid w:val="00AA021D"/>
    <w:rPr>
      <w:rFonts w:cs="Times New Roman"/>
      <w:b/>
      <w:caps/>
      <w:color w:val="1F3763"/>
      <w:spacing w:val="10"/>
      <w:lang w:val="ru-RU" w:eastAsia="ru-RU"/>
    </w:rPr>
  </w:style>
  <w:style w:type="character" w:styleId="SubtleReference">
    <w:name w:val="Subtle Reference"/>
    <w:uiPriority w:val="99"/>
    <w:qFormat/>
    <w:rsid w:val="00AA021D"/>
    <w:rPr>
      <w:rFonts w:cs="Times New Roman"/>
      <w:b/>
      <w:color w:val="4472C4"/>
      <w:lang w:val="ru-RU" w:eastAsia="ru-RU"/>
    </w:rPr>
  </w:style>
  <w:style w:type="character" w:styleId="IntenseReference">
    <w:name w:val="Intense Reference"/>
    <w:uiPriority w:val="99"/>
    <w:qFormat/>
    <w:rsid w:val="00AA021D"/>
    <w:rPr>
      <w:rFonts w:cs="Times New Roman"/>
      <w:b/>
      <w:i/>
      <w:caps/>
      <w:color w:val="4472C4"/>
      <w:lang w:val="ru-RU" w:eastAsia="ru-RU"/>
    </w:rPr>
  </w:style>
  <w:style w:type="character" w:styleId="BookTitle">
    <w:name w:val="Book Title"/>
    <w:uiPriority w:val="99"/>
    <w:qFormat/>
    <w:rsid w:val="00AA021D"/>
    <w:rPr>
      <w:rFonts w:cs="Times New Roman"/>
      <w:b/>
      <w:i/>
      <w:spacing w:val="0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AA021D"/>
    <w:pPr>
      <w:outlineLvl w:val="9"/>
    </w:pPr>
  </w:style>
  <w:style w:type="paragraph" w:styleId="ListParagraph">
    <w:name w:val="List Paragraph"/>
    <w:basedOn w:val="Normal"/>
    <w:uiPriority w:val="99"/>
    <w:qFormat/>
    <w:rsid w:val="00AA02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A021D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AA021D"/>
    <w:rPr>
      <w:rFonts w:cs="Times New Roman"/>
      <w:lang w:val="ru-RU" w:eastAsia="ru-RU"/>
    </w:rPr>
  </w:style>
  <w:style w:type="character" w:styleId="FootnoteReference">
    <w:name w:val="footnote reference"/>
    <w:uiPriority w:val="99"/>
    <w:semiHidden/>
    <w:rsid w:val="00AA021D"/>
    <w:rPr>
      <w:rFonts w:cs="Times New Roman"/>
      <w:vertAlign w:val="superscript"/>
      <w:lang w:val="ru-RU" w:eastAsia="ru-RU"/>
    </w:rPr>
  </w:style>
  <w:style w:type="character" w:styleId="Hyperlink">
    <w:name w:val="Hyperlink"/>
    <w:uiPriority w:val="99"/>
    <w:rsid w:val="00AA021D"/>
    <w:rPr>
      <w:rFonts w:cs="Times New Roman"/>
      <w:color w:val="0563C1"/>
      <w:u w:val="single"/>
      <w:lang w:val="ru-RU" w:eastAsia="ru-RU"/>
    </w:rPr>
  </w:style>
  <w:style w:type="character" w:customStyle="1" w:styleId="UnresolvedMention1">
    <w:name w:val="Unresolved Mention1"/>
    <w:uiPriority w:val="99"/>
    <w:semiHidden/>
    <w:rsid w:val="00AA021D"/>
    <w:rPr>
      <w:rFonts w:cs="Times New Roman"/>
      <w:color w:val="605E5C"/>
      <w:shd w:val="clear" w:color="000000" w:fill="auto"/>
      <w:lang w:val="ru-RU" w:eastAsia="ru-RU"/>
    </w:rPr>
  </w:style>
  <w:style w:type="paragraph" w:styleId="TOC1">
    <w:name w:val="toc 1"/>
    <w:basedOn w:val="Normal"/>
    <w:next w:val="Normal"/>
    <w:autoRedefine/>
    <w:uiPriority w:val="99"/>
    <w:rsid w:val="00AA021D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A021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AA021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rsid w:val="00AA02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AA021D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AA02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AA021D"/>
    <w:rPr>
      <w:rFonts w:cs="Times New Roman"/>
      <w:lang w:val="ru-RU" w:eastAsia="ru-RU"/>
    </w:rPr>
  </w:style>
  <w:style w:type="table" w:styleId="TableGrid">
    <w:name w:val="Table Grid"/>
    <w:basedOn w:val="TableNormal"/>
    <w:uiPriority w:val="99"/>
    <w:rsid w:val="00AA021D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A021D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AA021D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AA021D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2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A021D"/>
    <w:rPr>
      <w:rFonts w:cs="Times New Roman"/>
      <w:b/>
      <w:bCs/>
      <w:lang w:val="ru-RU" w:eastAsia="ru-RU"/>
    </w:rPr>
  </w:style>
  <w:style w:type="paragraph" w:styleId="Revision">
    <w:name w:val="Revision"/>
    <w:hidden/>
    <w:uiPriority w:val="99"/>
    <w:semiHidden/>
    <w:rsid w:val="00AA021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ContentStatus xmlns="ca283e0b-db31-4043-a2ef-b80661bf084a" xsi:nil="true"/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FFAB7A-44FD-499A-8ECF-E529C9A25D7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2aac1c47-a7bd-4382-bbe6-d59290c165d5"/>
    <ds:schemaRef ds:uri="03aba595-bc08-4bc6-a067-44fa0d6fce4c"/>
  </ds:schemaRefs>
</ds:datastoreItem>
</file>

<file path=customXml/itemProps2.xml><?xml version="1.0" encoding="utf-8"?>
<ds:datastoreItem xmlns:ds="http://schemas.openxmlformats.org/officeDocument/2006/customXml" ds:itemID="{C6E4FF80-6061-4EA2-99E8-26B952EA88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43C604-B81A-4F4C-8145-D7EAB6E58825}"/>
</file>

<file path=customXml/itemProps4.xml><?xml version="1.0" encoding="utf-8"?>
<ds:datastoreItem xmlns:ds="http://schemas.openxmlformats.org/officeDocument/2006/customXml" ds:itemID="{9C0299CE-030F-4B7C-99EE-31B679E1FB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FAD809-A2FC-411A-A3DA-14D946D90B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149E9D-5DCF-4EC5-84F4-42F225C45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2069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(COUNTRY/SURVEY, YEAR) PROTECTION PROTOCOL</dc:title>
  <dc:subject/>
  <dc:creator>Bo Pedersen</dc:creator>
  <cp:keywords/>
  <dc:description/>
  <cp:lastModifiedBy>Ana Abdelbasit</cp:lastModifiedBy>
  <cp:revision>12</cp:revision>
  <dcterms:created xsi:type="dcterms:W3CDTF">2023-03-29T13:10:00Z</dcterms:created>
  <dcterms:modified xsi:type="dcterms:W3CDTF">2023-12-04T13:40:00Z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GrammarlyDocumentId">
    <vt:lpwstr>fb2d341b19ca156ed87d2a515491a4bbbb32413e650bb0bf29e3113f919781db</vt:lpwstr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CategoryDescription">
    <vt:lpwstr/>
  </property>
  <property fmtid="{D5CDD505-2E9C-101B-9397-08002B2CF9AE}" pid="15" name="ga975397408f43e4b84ec8e5a598e523">
    <vt:lpwstr>00000000-0000-0000-0000-000000000000</vt:lpwstr>
  </property>
  <property fmtid="{D5CDD505-2E9C-101B-9397-08002B2CF9AE}" pid="16" name="lcf76f155ced4ddcb4097134ff3c332f">
    <vt:lpwstr/>
  </property>
  <property fmtid="{D5CDD505-2E9C-101B-9397-08002B2CF9AE}" pid="17" name="WrittenBy">
    <vt:lpwstr/>
  </property>
  <property fmtid="{D5CDD505-2E9C-101B-9397-08002B2CF9AE}" pid="18" name="TaxCatchAll">
    <vt:lpwstr/>
  </property>
  <property fmtid="{D5CDD505-2E9C-101B-9397-08002B2CF9AE}" pid="19" name="j169e817e0ee4eb8974e6fc4a2762909">
    <vt:lpwstr/>
  </property>
  <property fmtid="{D5CDD505-2E9C-101B-9397-08002B2CF9AE}" pid="20" name="SemaphoreItemMetadata">
    <vt:lpwstr/>
  </property>
  <property fmtid="{D5CDD505-2E9C-101B-9397-08002B2CF9AE}" pid="21" name="TaxKeywordTaxHTField">
    <vt:lpwstr/>
  </property>
  <property fmtid="{D5CDD505-2E9C-101B-9397-08002B2CF9AE}" pid="22" name="ContentLanguage">
    <vt:lpwstr>English</vt:lpwstr>
  </property>
  <property fmtid="{D5CDD505-2E9C-101B-9397-08002B2CF9AE}" pid="23" name="k8c968e8c72a4eda96b7e8fdbe192be2">
    <vt:lpwstr/>
  </property>
  <property fmtid="{D5CDD505-2E9C-101B-9397-08002B2CF9AE}" pid="24" name="DateTransmittedEmail">
    <vt:lpwstr/>
  </property>
  <property fmtid="{D5CDD505-2E9C-101B-9397-08002B2CF9AE}" pid="25" name="IconOverlay">
    <vt:lpwstr/>
  </property>
  <property fmtid="{D5CDD505-2E9C-101B-9397-08002B2CF9AE}" pid="26" name="j048a4f9aaad4a8990a1d5e5f53cb451">
    <vt:lpwstr/>
  </property>
  <property fmtid="{D5CDD505-2E9C-101B-9397-08002B2CF9AE}" pid="27" name="ContentStatus">
    <vt:lpwstr/>
  </property>
  <property fmtid="{D5CDD505-2E9C-101B-9397-08002B2CF9AE}" pid="28" name="SenderEmail">
    <vt:lpwstr/>
  </property>
  <property fmtid="{D5CDD505-2E9C-101B-9397-08002B2CF9AE}" pid="29" name="RecipientsEmail">
    <vt:lpwstr/>
  </property>
</Properties>
</file>