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950"/>
      </w:tblGrid>
      <w:tr w:rsidR="00184895" w:rsidRPr="00EF64EC" w14:paraId="1AA50653" w14:textId="77777777" w:rsidTr="009307BE">
        <w:trPr>
          <w:cantSplit/>
        </w:trPr>
        <w:tc>
          <w:tcPr>
            <w:tcW w:w="13950" w:type="dxa"/>
          </w:tcPr>
          <w:p w14:paraId="2EFC285B" w14:textId="4A439049"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0"/>
        <w:gridCol w:w="1030"/>
        <w:gridCol w:w="943"/>
        <w:gridCol w:w="7961"/>
        <w:gridCol w:w="1013"/>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15-24 years who </w:t>
            </w:r>
            <w:proofErr w:type="gramStart"/>
            <w:r w:rsidRPr="00EF64EC">
              <w:rPr>
                <w:sz w:val="16"/>
                <w:szCs w:val="16"/>
                <w:lang w:val="en-GB"/>
              </w:rPr>
              <w:t>are able to</w:t>
            </w:r>
            <w:proofErr w:type="gramEnd"/>
            <w:r w:rsidRPr="00EF64EC">
              <w:rPr>
                <w:sz w:val="16"/>
                <w:szCs w:val="16"/>
                <w:lang w:val="en-GB"/>
              </w:rPr>
              <w:t xml:space="preserve">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644A8A">
            <w:pPr>
              <w:pStyle w:val="ListParagraph"/>
              <w:numPr>
                <w:ilvl w:val="0"/>
                <w:numId w:val="30"/>
              </w:numPr>
              <w:rPr>
                <w:sz w:val="16"/>
                <w:szCs w:val="16"/>
                <w:lang w:val="en-GB"/>
              </w:rPr>
            </w:pPr>
            <w:r w:rsidRPr="005C31BF">
              <w:rPr>
                <w:sz w:val="16"/>
                <w:szCs w:val="16"/>
                <w:lang w:val="en-GB"/>
              </w:rPr>
              <w:t>during the last 3 months</w:t>
            </w:r>
          </w:p>
          <w:p w14:paraId="3E736F0C" w14:textId="65B3A0C1" w:rsidR="00184895" w:rsidRPr="005C31BF" w:rsidRDefault="00184895" w:rsidP="00644A8A">
            <w:pPr>
              <w:pStyle w:val="ListParagraph"/>
              <w:numPr>
                <w:ilvl w:val="0"/>
                <w:numId w:val="3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644A8A">
            <w:pPr>
              <w:pStyle w:val="ListParagraph"/>
              <w:numPr>
                <w:ilvl w:val="0"/>
                <w:numId w:val="31"/>
              </w:numPr>
              <w:rPr>
                <w:sz w:val="16"/>
                <w:szCs w:val="16"/>
                <w:lang w:val="en-GB"/>
              </w:rPr>
            </w:pPr>
            <w:r w:rsidRPr="005C31BF">
              <w:rPr>
                <w:sz w:val="16"/>
                <w:szCs w:val="16"/>
                <w:lang w:val="en-GB"/>
              </w:rPr>
              <w:t>during the last 3 months</w:t>
            </w:r>
          </w:p>
          <w:p w14:paraId="64FFE67B" w14:textId="1DC4FAFE" w:rsidR="00134D1E" w:rsidRPr="005C31BF" w:rsidRDefault="00134D1E" w:rsidP="00644A8A">
            <w:pPr>
              <w:pStyle w:val="ListParagraph"/>
              <w:numPr>
                <w:ilvl w:val="0"/>
                <w:numId w:val="3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644A8A">
            <w:pPr>
              <w:pStyle w:val="ListParagraph"/>
              <w:numPr>
                <w:ilvl w:val="0"/>
                <w:numId w:val="33"/>
              </w:numPr>
              <w:rPr>
                <w:sz w:val="16"/>
                <w:szCs w:val="16"/>
                <w:lang w:val="en-GB"/>
              </w:rPr>
            </w:pPr>
            <w:r>
              <w:rPr>
                <w:sz w:val="16"/>
                <w:szCs w:val="16"/>
                <w:lang w:val="en-GB"/>
              </w:rPr>
              <w:t>age 15-24</w:t>
            </w:r>
          </w:p>
          <w:p w14:paraId="45E08343" w14:textId="5CF20498" w:rsidR="00E713AF" w:rsidRPr="00E713AF" w:rsidRDefault="00E713AF" w:rsidP="00644A8A">
            <w:pPr>
              <w:pStyle w:val="ListParagraph"/>
              <w:numPr>
                <w:ilvl w:val="0"/>
                <w:numId w:val="3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644A8A">
            <w:pPr>
              <w:pStyle w:val="ListParagraph"/>
              <w:numPr>
                <w:ilvl w:val="0"/>
                <w:numId w:val="34"/>
              </w:numPr>
              <w:rPr>
                <w:sz w:val="16"/>
                <w:szCs w:val="16"/>
                <w:lang w:val="en-GB"/>
              </w:rPr>
            </w:pPr>
            <w:r>
              <w:rPr>
                <w:sz w:val="16"/>
                <w:szCs w:val="16"/>
                <w:lang w:val="en-GB"/>
              </w:rPr>
              <w:t>age 15-24</w:t>
            </w:r>
          </w:p>
          <w:p w14:paraId="3F8BDEF2" w14:textId="5CC448B0" w:rsidR="00534E44" w:rsidRPr="00E713AF" w:rsidRDefault="00E713AF" w:rsidP="00644A8A">
            <w:pPr>
              <w:pStyle w:val="ListParagraph"/>
              <w:numPr>
                <w:ilvl w:val="0"/>
                <w:numId w:val="3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1"/>
        <w:gridCol w:w="2198"/>
        <w:gridCol w:w="1038"/>
        <w:gridCol w:w="184"/>
        <w:gridCol w:w="807"/>
        <w:gridCol w:w="7891"/>
        <w:gridCol w:w="1074"/>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59A98E1B"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8C5EAD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60186C7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88"/>
        <w:gridCol w:w="991"/>
        <w:gridCol w:w="7920"/>
        <w:gridCol w:w="963"/>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3CF99551"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5375950" w:rsidR="00184895" w:rsidRPr="00EF64EC" w:rsidRDefault="00184895" w:rsidP="00184895">
            <w:pPr>
              <w:jc w:val="center"/>
              <w:rPr>
                <w:b/>
                <w:sz w:val="20"/>
                <w:lang w:val="en-GB"/>
              </w:rPr>
            </w:pPr>
            <w:r w:rsidRPr="00EF64EC">
              <w:rPr>
                <w:b/>
                <w:sz w:val="20"/>
                <w:lang w:val="en-GB"/>
              </w:rPr>
              <w:t>Module</w:t>
            </w:r>
            <w:r w:rsidR="009F1057">
              <w:rPr>
                <w:sz w:val="20"/>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53BE883"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0" w:name="_Ref501447969"/>
            <w:r w:rsidRPr="00EF64EC">
              <w:rPr>
                <w:sz w:val="16"/>
                <w:szCs w:val="16"/>
                <w:vertAlign w:val="superscript"/>
                <w:lang w:val="en-GB"/>
              </w:rPr>
              <w:footnoteReference w:id="5"/>
            </w:r>
            <w:bookmarkEnd w:id="0"/>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6"/>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7"/>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105CCC9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years </w:t>
            </w:r>
            <w:r w:rsidR="00CD09A4" w:rsidRPr="00EF64EC">
              <w:rPr>
                <w:sz w:val="16"/>
                <w:szCs w:val="16"/>
                <w:lang w:val="en-GB"/>
              </w:rPr>
              <w:t>report</w:t>
            </w:r>
            <w:r w:rsidR="00CD09A4">
              <w:rPr>
                <w:sz w:val="16"/>
                <w:szCs w:val="16"/>
                <w:lang w:val="en-GB"/>
              </w:rPr>
              <w:t>ing</w:t>
            </w:r>
            <w:r w:rsidR="00CD09A4" w:rsidRPr="00EF64EC">
              <w:rPr>
                <w:sz w:val="16"/>
                <w:szCs w:val="16"/>
                <w:lang w:val="en-GB"/>
              </w:rPr>
              <w:t xml:space="preserve"> </w:t>
            </w:r>
            <w:r w:rsidRPr="00EF64EC">
              <w:rPr>
                <w:sz w:val="16"/>
                <w:szCs w:val="16"/>
                <w:lang w:val="en-GB"/>
              </w:rPr>
              <w:t>having had more than one sexual partner in the last 12 months who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6EA3FE8A"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t>
            </w:r>
            <w:r w:rsidR="00CD09A4">
              <w:rPr>
                <w:sz w:val="16"/>
                <w:szCs w:val="16"/>
                <w:lang w:val="en-GB"/>
              </w:rPr>
              <w:t>reporting having</w:t>
            </w:r>
            <w:r w:rsidR="00CD09A4" w:rsidRPr="00EF64EC">
              <w:rPr>
                <w:sz w:val="16"/>
                <w:szCs w:val="16"/>
                <w:lang w:val="en-GB"/>
              </w:rPr>
              <w:t xml:space="preserve"> </w:t>
            </w:r>
            <w:r w:rsidRPr="00EF64EC">
              <w:rPr>
                <w:sz w:val="16"/>
                <w:szCs w:val="16"/>
                <w:lang w:val="en-GB"/>
              </w:rPr>
              <w:t xml:space="preserve">had sex in the last 12 months </w:t>
            </w:r>
            <w:r w:rsidR="00CD09A4">
              <w:rPr>
                <w:sz w:val="16"/>
                <w:szCs w:val="16"/>
                <w:lang w:val="en-GB"/>
              </w:rPr>
              <w:t xml:space="preserve">who had </w:t>
            </w:r>
            <w:r w:rsidRPr="00EF64EC">
              <w:rPr>
                <w:sz w:val="16"/>
                <w:szCs w:val="16"/>
                <w:lang w:val="en-GB"/>
              </w:rPr>
              <w:t>a partner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39F4B38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Pr>
                <w:sz w:val="16"/>
                <w:szCs w:val="16"/>
                <w:lang w:val="en-GB"/>
              </w:rPr>
              <w:t xml:space="preserve">in the last 12 months </w:t>
            </w:r>
            <w:r w:rsidR="00B63B78">
              <w:rPr>
                <w:sz w:val="16"/>
                <w:szCs w:val="16"/>
                <w:lang w:val="en-GB"/>
              </w:rPr>
              <w:t>who had</w:t>
            </w:r>
            <w:r w:rsidR="00B63B78" w:rsidRPr="00EF64EC">
              <w:rPr>
                <w:sz w:val="16"/>
                <w:szCs w:val="16"/>
                <w:lang w:val="en-GB"/>
              </w:rPr>
              <w:t xml:space="preserve"> </w:t>
            </w:r>
            <w:r w:rsidRPr="00EF64EC">
              <w:rPr>
                <w:sz w:val="16"/>
                <w:szCs w:val="16"/>
                <w:lang w:val="en-GB"/>
              </w:rPr>
              <w:t>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63AA44C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sidR="00B63B78">
              <w:rPr>
                <w:sz w:val="16"/>
                <w:szCs w:val="16"/>
                <w:lang w:val="en-GB"/>
              </w:rPr>
              <w:t xml:space="preserve">in the last 12 months </w:t>
            </w:r>
            <w:r w:rsidRPr="00EF64EC">
              <w:rPr>
                <w:sz w:val="16"/>
                <w:szCs w:val="16"/>
                <w:lang w:val="en-GB"/>
              </w:rPr>
              <w:t xml:space="preserve">with a non-marital, non-cohabiting partner </w:t>
            </w:r>
            <w:r>
              <w:rPr>
                <w:sz w:val="16"/>
                <w:szCs w:val="16"/>
                <w:lang w:val="en-GB"/>
              </w:rPr>
              <w:t xml:space="preserve">who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30FC2938" w:rsidR="00184895" w:rsidRPr="00EF64EC" w:rsidRDefault="00702EAE" w:rsidP="00184895">
            <w:pPr>
              <w:rPr>
                <w:sz w:val="16"/>
                <w:szCs w:val="16"/>
                <w:lang w:val="en-GB"/>
              </w:rPr>
            </w:pPr>
            <w:r>
              <w:rPr>
                <w:sz w:val="16"/>
                <w:szCs w:val="16"/>
                <w:lang w:val="en-GB"/>
              </w:rPr>
              <w:t>Comprehensive k</w:t>
            </w:r>
            <w:r w:rsidRPr="00EF64EC">
              <w:rPr>
                <w:sz w:val="16"/>
                <w:szCs w:val="16"/>
                <w:lang w:val="en-GB"/>
              </w:rPr>
              <w:t xml:space="preserve">nowledge </w:t>
            </w:r>
            <w:r w:rsidR="00184895" w:rsidRPr="00EF64EC">
              <w:rPr>
                <w:sz w:val="16"/>
                <w:szCs w:val="16"/>
                <w:lang w:val="en-GB"/>
              </w:rPr>
              <w:t>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5714376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w:t>
            </w:r>
            <w:r w:rsidR="00702EAE">
              <w:rPr>
                <w:sz w:val="16"/>
                <w:szCs w:val="16"/>
                <w:lang w:val="en-GB"/>
              </w:rPr>
              <w:t xml:space="preserve"> the</w:t>
            </w:r>
            <w:r w:rsidRPr="00EF64EC">
              <w:rPr>
                <w:sz w:val="16"/>
                <w:szCs w:val="16"/>
                <w:lang w:val="en-GB"/>
              </w:rPr>
              <w:t xml:space="preserve"> </w:t>
            </w:r>
            <w:r w:rsidR="00B63B78">
              <w:rPr>
                <w:sz w:val="16"/>
                <w:szCs w:val="16"/>
                <w:lang w:val="en-GB"/>
              </w:rPr>
              <w:t xml:space="preserve">two </w:t>
            </w:r>
            <w:r w:rsidRPr="00EF64EC">
              <w:rPr>
                <w:sz w:val="16"/>
                <w:szCs w:val="16"/>
                <w:lang w:val="en-GB"/>
              </w:rPr>
              <w:t>ways of preventing the sexual transmission of HIV</w:t>
            </w:r>
            <w:r w:rsidRPr="00EF64EC">
              <w:rPr>
                <w:sz w:val="16"/>
                <w:szCs w:val="16"/>
                <w:vertAlign w:val="superscript"/>
                <w:lang w:val="en-GB"/>
              </w:rPr>
              <w:footnoteReference w:id="8"/>
            </w:r>
            <w:r w:rsidRPr="00EF64EC">
              <w:rPr>
                <w:sz w:val="16"/>
                <w:szCs w:val="16"/>
                <w:lang w:val="en-GB"/>
              </w:rPr>
              <w:t xml:space="preserve">, </w:t>
            </w:r>
            <w:r w:rsidR="00B63B78">
              <w:rPr>
                <w:sz w:val="16"/>
                <w:szCs w:val="16"/>
                <w:lang w:val="en-GB"/>
              </w:rPr>
              <w:t xml:space="preserve">who know that a healthy-looking person can be HIV-positive </w:t>
            </w:r>
            <w:r w:rsidRPr="00EF64EC">
              <w:rPr>
                <w:sz w:val="16"/>
                <w:szCs w:val="16"/>
                <w:lang w:val="en-GB"/>
              </w:rPr>
              <w:t xml:space="preserve">and who reject </w:t>
            </w:r>
            <w:r w:rsidR="00B63B78">
              <w:rPr>
                <w:sz w:val="16"/>
                <w:szCs w:val="16"/>
                <w:lang w:val="en-GB"/>
              </w:rPr>
              <w:t>the two most common</w:t>
            </w:r>
            <w:r w:rsidR="00B63B78" w:rsidRPr="00EF64EC">
              <w:rPr>
                <w:sz w:val="16"/>
                <w:szCs w:val="16"/>
                <w:lang w:val="en-GB"/>
              </w:rPr>
              <w:t xml:space="preserve"> </w:t>
            </w:r>
            <w:r w:rsidRPr="00EF64EC">
              <w:rPr>
                <w:sz w:val="16"/>
                <w:szCs w:val="16"/>
                <w:lang w:val="en-GB"/>
              </w:rPr>
              <w:t>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455595E"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t>
            </w:r>
            <w:r w:rsidR="00702EAE">
              <w:rPr>
                <w:sz w:val="16"/>
                <w:szCs w:val="16"/>
                <w:lang w:val="en-GB"/>
              </w:rPr>
              <w:t>years reporting having</w:t>
            </w:r>
            <w:r>
              <w:rPr>
                <w:sz w:val="16"/>
                <w:szCs w:val="16"/>
                <w:lang w:val="en-GB"/>
              </w:rPr>
              <w:t xml:space="preserve"> heard of HIV </w:t>
            </w:r>
            <w:r w:rsidR="00702EAE">
              <w:rPr>
                <w:sz w:val="16"/>
                <w:szCs w:val="16"/>
                <w:lang w:val="en-GB"/>
              </w:rPr>
              <w:t xml:space="preserve">who </w:t>
            </w:r>
            <w:r w:rsidRPr="00EF64EC">
              <w:rPr>
                <w:sz w:val="16"/>
                <w:szCs w:val="16"/>
                <w:lang w:val="en-GB"/>
              </w:rPr>
              <w:t>report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43D54DE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w:t>
            </w:r>
            <w:r w:rsidR="00C0530C">
              <w:rPr>
                <w:sz w:val="16"/>
                <w:szCs w:val="16"/>
                <w:lang w:val="en-GB"/>
              </w:rPr>
              <w:t xml:space="preserve"> who</w:t>
            </w:r>
            <w:r w:rsidRPr="00EF64EC">
              <w:rPr>
                <w:sz w:val="16"/>
                <w:szCs w:val="16"/>
                <w:lang w:val="en-GB"/>
              </w:rPr>
              <w:t xml:space="preserve"> </w:t>
            </w:r>
            <w:r w:rsidR="00702EAE">
              <w:rPr>
                <w:sz w:val="16"/>
                <w:szCs w:val="16"/>
                <w:lang w:val="en-GB"/>
              </w:rPr>
              <w:t>report</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been tested for HIV in the last 12 months and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17F8478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702EAE">
              <w:rPr>
                <w:sz w:val="16"/>
                <w:szCs w:val="16"/>
                <w:lang w:val="en-GB"/>
              </w:rPr>
              <w:t>reporting</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had sex in the last 12 months, who have been tested for HIV in the last 12 months</w:t>
            </w:r>
            <w:r w:rsidRPr="00EF64EC" w:rsidDel="00F47F9A">
              <w:rPr>
                <w:sz w:val="16"/>
                <w:szCs w:val="16"/>
                <w:lang w:val="en-GB"/>
              </w:rPr>
              <w:t xml:space="preserve"> </w:t>
            </w:r>
            <w:r w:rsidRPr="00EF64EC">
              <w:rPr>
                <w:sz w:val="16"/>
                <w:szCs w:val="16"/>
                <w:lang w:val="en-GB"/>
              </w:rPr>
              <w:t>and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C4B0F33" w:rsidR="00184895" w:rsidRDefault="00184895" w:rsidP="00644A8A">
            <w:pPr>
              <w:numPr>
                <w:ilvl w:val="0"/>
                <w:numId w:val="9"/>
              </w:numPr>
              <w:contextualSpacing/>
              <w:rPr>
                <w:sz w:val="16"/>
                <w:szCs w:val="16"/>
                <w:lang w:val="en-GB"/>
              </w:rPr>
            </w:pPr>
            <w:r w:rsidRPr="00EF64EC">
              <w:rPr>
                <w:sz w:val="16"/>
                <w:szCs w:val="16"/>
                <w:lang w:val="en-GB"/>
              </w:rPr>
              <w:t>counselling on HIV</w:t>
            </w:r>
            <w:r w:rsidR="00615082">
              <w:rPr>
                <w:rStyle w:val="FootnoteReference"/>
                <w:sz w:val="16"/>
                <w:szCs w:val="16"/>
                <w:lang w:val="en-GB"/>
              </w:rPr>
              <w:footnoteReference w:id="11"/>
            </w:r>
          </w:p>
          <w:p w14:paraId="2692B1A9" w14:textId="77777777" w:rsidR="00184895" w:rsidRPr="007079A3" w:rsidRDefault="00184895" w:rsidP="00644A8A">
            <w:pPr>
              <w:numPr>
                <w:ilvl w:val="0"/>
                <w:numId w:val="9"/>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2C5C8126"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0B9CAA95"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455FE885"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1"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1"/>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065B12EF" w:rsidR="00ED3902" w:rsidRPr="00EF64EC" w:rsidRDefault="00ED3902" w:rsidP="00ED3902">
            <w:pPr>
              <w:rPr>
                <w:sz w:val="16"/>
                <w:szCs w:val="16"/>
                <w:lang w:val="en-GB"/>
              </w:rPr>
            </w:pPr>
            <w:r w:rsidRPr="00EF64EC">
              <w:rPr>
                <w:sz w:val="16"/>
                <w:szCs w:val="16"/>
                <w:lang w:val="en-GB"/>
              </w:rPr>
              <w:t>Full immunization coverage</w:t>
            </w:r>
            <w:r w:rsidR="0074772C">
              <w:rPr>
                <w:rStyle w:val="FootnoteReference"/>
                <w:sz w:val="16"/>
                <w:szCs w:val="16"/>
                <w:lang w:val="en-GB"/>
              </w:rPr>
              <w:footnoteReference w:id="12"/>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644A8A">
            <w:pPr>
              <w:pStyle w:val="ListParagraph"/>
              <w:numPr>
                <w:ilvl w:val="0"/>
                <w:numId w:val="35"/>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644A8A">
            <w:pPr>
              <w:pStyle w:val="ListParagraph"/>
              <w:numPr>
                <w:ilvl w:val="0"/>
                <w:numId w:val="35"/>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644A8A">
            <w:pPr>
              <w:numPr>
                <w:ilvl w:val="0"/>
                <w:numId w:val="8"/>
              </w:numPr>
              <w:contextualSpacing/>
              <w:rPr>
                <w:sz w:val="16"/>
                <w:szCs w:val="16"/>
                <w:lang w:val="en-GB"/>
              </w:rPr>
            </w:pPr>
            <w:r w:rsidRPr="00EF64EC">
              <w:rPr>
                <w:sz w:val="16"/>
                <w:szCs w:val="16"/>
                <w:lang w:val="en-GB"/>
              </w:rPr>
              <w:t>ORS</w:t>
            </w:r>
          </w:p>
          <w:p w14:paraId="2DD9367C" w14:textId="77777777" w:rsidR="00ED3902" w:rsidRPr="00EF64EC" w:rsidRDefault="00ED3902" w:rsidP="00644A8A">
            <w:pPr>
              <w:numPr>
                <w:ilvl w:val="0"/>
                <w:numId w:val="8"/>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3"/>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644A8A">
            <w:pPr>
              <w:numPr>
                <w:ilvl w:val="0"/>
                <w:numId w:val="4"/>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644A8A">
            <w:pPr>
              <w:numPr>
                <w:ilvl w:val="0"/>
                <w:numId w:val="4"/>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4"/>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5"/>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6"/>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644A8A">
            <w:pPr>
              <w:numPr>
                <w:ilvl w:val="0"/>
                <w:numId w:val="1"/>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644A8A">
            <w:pPr>
              <w:numPr>
                <w:ilvl w:val="0"/>
                <w:numId w:val="1"/>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7"/>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8"/>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644A8A">
            <w:pPr>
              <w:numPr>
                <w:ilvl w:val="0"/>
                <w:numId w:val="2"/>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644A8A">
            <w:pPr>
              <w:numPr>
                <w:ilvl w:val="0"/>
                <w:numId w:val="2"/>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644A8A">
            <w:pPr>
              <w:numPr>
                <w:ilvl w:val="0"/>
                <w:numId w:val="17"/>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644A8A">
            <w:pPr>
              <w:numPr>
                <w:ilvl w:val="0"/>
                <w:numId w:val="17"/>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644A8A">
            <w:pPr>
              <w:numPr>
                <w:ilvl w:val="0"/>
                <w:numId w:val="25"/>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644A8A">
            <w:pPr>
              <w:numPr>
                <w:ilvl w:val="0"/>
                <w:numId w:val="25"/>
              </w:numPr>
              <w:contextualSpacing/>
              <w:rPr>
                <w:sz w:val="16"/>
                <w:szCs w:val="16"/>
                <w:lang w:val="en-GB"/>
              </w:rPr>
            </w:pPr>
            <w:r w:rsidRPr="00EF64EC">
              <w:rPr>
                <w:sz w:val="16"/>
                <w:szCs w:val="16"/>
                <w:lang w:val="en-GB"/>
              </w:rPr>
              <w:t>Father</w:t>
            </w:r>
          </w:p>
          <w:p w14:paraId="11587E7F" w14:textId="77777777" w:rsidR="00ED3902" w:rsidRPr="00EF64EC" w:rsidRDefault="00ED3902" w:rsidP="00644A8A">
            <w:pPr>
              <w:numPr>
                <w:ilvl w:val="0"/>
                <w:numId w:val="25"/>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1169"/>
        <w:gridCol w:w="991"/>
        <w:gridCol w:w="7828"/>
        <w:gridCol w:w="874"/>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2F9A3EBA"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0272DC88"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3D7A9C1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644A8A">
            <w:pPr>
              <w:numPr>
                <w:ilvl w:val="0"/>
                <w:numId w:val="23"/>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644A8A">
            <w:pPr>
              <w:numPr>
                <w:ilvl w:val="0"/>
                <w:numId w:val="23"/>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644A8A">
            <w:pPr>
              <w:numPr>
                <w:ilvl w:val="0"/>
                <w:numId w:val="23"/>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50547CAC" w:rsidR="00184895" w:rsidRPr="00EF64EC" w:rsidRDefault="00184895" w:rsidP="00644A8A">
            <w:pPr>
              <w:numPr>
                <w:ilvl w:val="0"/>
                <w:numId w:val="24"/>
              </w:numPr>
              <w:contextualSpacing/>
              <w:rPr>
                <w:sz w:val="16"/>
                <w:szCs w:val="16"/>
                <w:lang w:val="en-GB"/>
              </w:rPr>
            </w:pPr>
            <w:r w:rsidRPr="00EF64EC">
              <w:rPr>
                <w:sz w:val="16"/>
                <w:szCs w:val="16"/>
                <w:lang w:val="en-GB"/>
              </w:rPr>
              <w:t xml:space="preserve">primary school age who are not attending </w:t>
            </w:r>
            <w:r w:rsidR="0039710C">
              <w:rPr>
                <w:sz w:val="16"/>
                <w:szCs w:val="16"/>
                <w:lang w:val="en-GB"/>
              </w:rPr>
              <w:t xml:space="preserve">early childhood education, </w:t>
            </w:r>
            <w:r w:rsidRPr="00EF64EC">
              <w:rPr>
                <w:sz w:val="16"/>
                <w:szCs w:val="16"/>
                <w:lang w:val="en-GB"/>
              </w:rPr>
              <w:t>primary or lower secondary school</w:t>
            </w:r>
          </w:p>
          <w:p w14:paraId="0DD92E46" w14:textId="77777777" w:rsidR="00184895" w:rsidRPr="00EF64EC" w:rsidRDefault="00184895" w:rsidP="00644A8A">
            <w:pPr>
              <w:numPr>
                <w:ilvl w:val="0"/>
                <w:numId w:val="24"/>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644A8A">
            <w:pPr>
              <w:numPr>
                <w:ilvl w:val="0"/>
                <w:numId w:val="24"/>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614BE7B6" w:rsidR="00184895" w:rsidRPr="00EF64EC" w:rsidRDefault="002A764B" w:rsidP="00184895">
            <w:pPr>
              <w:rPr>
                <w:sz w:val="16"/>
                <w:szCs w:val="16"/>
                <w:lang w:val="en-GB"/>
              </w:rPr>
            </w:pPr>
            <w:r w:rsidRPr="002A764B">
              <w:rPr>
                <w:sz w:val="16"/>
                <w:szCs w:val="16"/>
                <w:lang w:val="en-GB"/>
              </w:rPr>
              <w:t>Rate of children attending the last grade for the first time to children at appropriate age to the last grade</w:t>
            </w:r>
            <w:r w:rsidR="00184895" w:rsidRPr="00EF64EC">
              <w:rPr>
                <w:sz w:val="16"/>
                <w:szCs w:val="16"/>
                <w:lang w:val="en-GB"/>
              </w:rPr>
              <w:t xml:space="preserve"> </w:t>
            </w:r>
          </w:p>
          <w:p w14:paraId="20FF98BB" w14:textId="77777777" w:rsidR="00184895" w:rsidRPr="00EF64EC" w:rsidRDefault="00184895" w:rsidP="00644A8A">
            <w:pPr>
              <w:numPr>
                <w:ilvl w:val="0"/>
                <w:numId w:val="22"/>
              </w:numPr>
              <w:contextualSpacing/>
              <w:rPr>
                <w:sz w:val="16"/>
                <w:szCs w:val="16"/>
                <w:lang w:val="en-GB"/>
              </w:rPr>
            </w:pPr>
            <w:r w:rsidRPr="00EF64EC">
              <w:rPr>
                <w:sz w:val="16"/>
                <w:szCs w:val="16"/>
                <w:lang w:val="en-GB"/>
              </w:rPr>
              <w:t>Primary school</w:t>
            </w:r>
          </w:p>
          <w:p w14:paraId="0892FA2E" w14:textId="77777777" w:rsidR="00184895" w:rsidRPr="00EF64EC" w:rsidRDefault="00184895" w:rsidP="00644A8A">
            <w:pPr>
              <w:numPr>
                <w:ilvl w:val="0"/>
                <w:numId w:val="22"/>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644A8A">
            <w:pPr>
              <w:numPr>
                <w:ilvl w:val="0"/>
                <w:numId w:val="21"/>
              </w:numPr>
              <w:contextualSpacing/>
              <w:rPr>
                <w:sz w:val="16"/>
                <w:szCs w:val="16"/>
                <w:lang w:val="en-GB"/>
              </w:rPr>
            </w:pPr>
            <w:r w:rsidRPr="00EF64EC">
              <w:rPr>
                <w:sz w:val="16"/>
                <w:szCs w:val="16"/>
                <w:lang w:val="en-GB"/>
              </w:rPr>
              <w:t>Primary school</w:t>
            </w:r>
          </w:p>
          <w:p w14:paraId="52E8A80A" w14:textId="77777777" w:rsidR="00184895" w:rsidRPr="00EF64EC" w:rsidRDefault="00184895" w:rsidP="00644A8A">
            <w:pPr>
              <w:numPr>
                <w:ilvl w:val="0"/>
                <w:numId w:val="21"/>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644A8A">
            <w:pPr>
              <w:numPr>
                <w:ilvl w:val="0"/>
                <w:numId w:val="21"/>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644A8A">
            <w:pPr>
              <w:numPr>
                <w:ilvl w:val="0"/>
                <w:numId w:val="20"/>
              </w:numPr>
              <w:contextualSpacing/>
              <w:rPr>
                <w:sz w:val="16"/>
                <w:szCs w:val="16"/>
                <w:lang w:val="en-GB"/>
              </w:rPr>
            </w:pPr>
            <w:r w:rsidRPr="00EF64EC">
              <w:rPr>
                <w:sz w:val="16"/>
                <w:szCs w:val="16"/>
                <w:lang w:val="en-GB"/>
              </w:rPr>
              <w:t>Primary school</w:t>
            </w:r>
          </w:p>
          <w:p w14:paraId="3C32D9BF" w14:textId="77777777" w:rsidR="00184895" w:rsidRPr="007079A3" w:rsidRDefault="00184895" w:rsidP="00644A8A">
            <w:pPr>
              <w:numPr>
                <w:ilvl w:val="0"/>
                <w:numId w:val="20"/>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C07072" w:rsidRPr="00A6541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C07072" w:rsidRPr="00A65412" w:rsidRDefault="00C07072" w:rsidP="00184895">
            <w:pPr>
              <w:keepNext/>
              <w:keepLines/>
              <w:rPr>
                <w:sz w:val="16"/>
                <w:szCs w:val="16"/>
                <w:lang w:val="en-GB"/>
              </w:rPr>
            </w:pPr>
            <w:bookmarkStart w:id="4" w:name="_Hlk13829853"/>
            <w:r w:rsidRPr="00A65412">
              <w:rPr>
                <w:sz w:val="16"/>
                <w:szCs w:val="16"/>
                <w:lang w:val="en-GB"/>
              </w:rPr>
              <w:t>LN.11a</w:t>
            </w:r>
          </w:p>
          <w:p w14:paraId="0337986F" w14:textId="77777777" w:rsidR="00C07072" w:rsidRPr="00A65412" w:rsidRDefault="00C07072" w:rsidP="00184895">
            <w:pPr>
              <w:keepNext/>
              <w:keepLines/>
              <w:rPr>
                <w:sz w:val="16"/>
                <w:szCs w:val="16"/>
                <w:lang w:val="en-GB"/>
              </w:rPr>
            </w:pPr>
            <w:r w:rsidRPr="00A65412">
              <w:rPr>
                <w:sz w:val="16"/>
                <w:szCs w:val="16"/>
                <w:lang w:val="en-GB"/>
              </w:rPr>
              <w:t>LN.11b</w:t>
            </w:r>
          </w:p>
          <w:p w14:paraId="06C037EA" w14:textId="77777777" w:rsidR="00C07072" w:rsidRPr="00A65412" w:rsidRDefault="00C07072" w:rsidP="00184895">
            <w:pPr>
              <w:keepNext/>
              <w:keepLines/>
              <w:rPr>
                <w:sz w:val="16"/>
                <w:szCs w:val="16"/>
                <w:lang w:val="en-GB"/>
              </w:rPr>
            </w:pPr>
            <w:r w:rsidRPr="00A65412">
              <w:rPr>
                <w:sz w:val="16"/>
                <w:szCs w:val="16"/>
                <w:lang w:val="en-GB"/>
              </w:rPr>
              <w:t>LN.11c</w:t>
            </w:r>
          </w:p>
          <w:p w14:paraId="06DF8689" w14:textId="08DD3F7D" w:rsidR="00C07072" w:rsidRPr="00A65412" w:rsidRDefault="00C07072" w:rsidP="00184895">
            <w:pPr>
              <w:keepNext/>
              <w:keepLines/>
              <w:rPr>
                <w:sz w:val="16"/>
                <w:szCs w:val="16"/>
                <w:lang w:val="en-GB"/>
              </w:rPr>
            </w:pPr>
            <w:r w:rsidRPr="00A65412">
              <w:rPr>
                <w:sz w:val="16"/>
                <w:szCs w:val="16"/>
                <w:lang w:val="en-GB"/>
              </w:rPr>
              <w:t>LN.11d</w:t>
            </w:r>
          </w:p>
        </w:tc>
        <w:tc>
          <w:tcPr>
            <w:tcW w:w="837" w:type="pct"/>
            <w:vMerge w:val="restart"/>
            <w:tcBorders>
              <w:left w:val="single" w:sz="4" w:space="0" w:color="auto"/>
            </w:tcBorders>
            <w:vAlign w:val="center"/>
          </w:tcPr>
          <w:p w14:paraId="4838EFB1" w14:textId="77777777" w:rsidR="00C07072" w:rsidRPr="00A65412" w:rsidRDefault="00C07072" w:rsidP="00184895">
            <w:pPr>
              <w:keepNext/>
              <w:keepLines/>
              <w:rPr>
                <w:sz w:val="16"/>
                <w:szCs w:val="16"/>
                <w:lang w:val="en-GB"/>
              </w:rPr>
            </w:pPr>
            <w:r w:rsidRPr="00A65412">
              <w:rPr>
                <w:sz w:val="16"/>
                <w:szCs w:val="16"/>
                <w:lang w:val="en-GB"/>
              </w:rPr>
              <w:t>Education Parity Indices</w:t>
            </w:r>
          </w:p>
          <w:p w14:paraId="4B50336E"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Gender</w:t>
            </w:r>
          </w:p>
          <w:p w14:paraId="5ED1E138"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Wealth</w:t>
            </w:r>
          </w:p>
          <w:p w14:paraId="2B5FBF19"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Area</w:t>
            </w:r>
          </w:p>
          <w:p w14:paraId="34BA0E84" w14:textId="3F79F35A"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Functioning</w:t>
            </w:r>
          </w:p>
        </w:tc>
        <w:tc>
          <w:tcPr>
            <w:tcW w:w="420" w:type="pct"/>
            <w:vMerge w:val="restart"/>
            <w:vAlign w:val="center"/>
          </w:tcPr>
          <w:p w14:paraId="60CBAA61" w14:textId="77777777" w:rsidR="00C07072" w:rsidRPr="00A65412" w:rsidRDefault="00C07072" w:rsidP="00184895">
            <w:pPr>
              <w:keepNext/>
              <w:keepLines/>
              <w:jc w:val="center"/>
              <w:rPr>
                <w:sz w:val="16"/>
                <w:szCs w:val="16"/>
                <w:lang w:val="en-GB"/>
              </w:rPr>
            </w:pPr>
            <w:r w:rsidRPr="00A65412">
              <w:rPr>
                <w:sz w:val="16"/>
                <w:szCs w:val="16"/>
                <w:lang w:val="en-GB"/>
              </w:rPr>
              <w:t>4.5.1</w:t>
            </w:r>
          </w:p>
        </w:tc>
        <w:tc>
          <w:tcPr>
            <w:tcW w:w="356" w:type="pct"/>
            <w:vMerge w:val="restart"/>
            <w:vAlign w:val="center"/>
          </w:tcPr>
          <w:p w14:paraId="00542F92" w14:textId="77777777" w:rsidR="00C07072" w:rsidRPr="00A65412" w:rsidRDefault="00C07072" w:rsidP="00184895">
            <w:pPr>
              <w:keepNext/>
              <w:keepLines/>
              <w:jc w:val="center"/>
              <w:rPr>
                <w:sz w:val="16"/>
                <w:szCs w:val="16"/>
                <w:lang w:val="en-GB"/>
              </w:rPr>
            </w:pPr>
            <w:r w:rsidRPr="00A65412">
              <w:rPr>
                <w:sz w:val="16"/>
                <w:szCs w:val="16"/>
                <w:lang w:val="en-GB"/>
              </w:rPr>
              <w:t>ED</w:t>
            </w:r>
          </w:p>
        </w:tc>
        <w:tc>
          <w:tcPr>
            <w:tcW w:w="2812" w:type="pct"/>
            <w:tcBorders>
              <w:bottom w:val="nil"/>
            </w:tcBorders>
          </w:tcPr>
          <w:p w14:paraId="2211A54C" w14:textId="75ACF8BF" w:rsidR="00C07072" w:rsidRPr="00A65412" w:rsidRDefault="00C07072" w:rsidP="00184895">
            <w:pPr>
              <w:keepNext/>
              <w:keepLines/>
              <w:rPr>
                <w:sz w:val="16"/>
                <w:szCs w:val="16"/>
                <w:lang w:val="en-GB"/>
              </w:rPr>
            </w:pPr>
            <w:r w:rsidRPr="00A65412">
              <w:rPr>
                <w:sz w:val="16"/>
                <w:szCs w:val="16"/>
                <w:lang w:val="en-GB"/>
              </w:rPr>
              <w:t>Net attendance ratio (adjusted) for girls divided by net attendance ratio (adjusted) for boys</w:t>
            </w:r>
          </w:p>
          <w:p w14:paraId="4547C74A" w14:textId="6C74214B"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organised learning (one year younger than the official primary school entry age)</w:t>
            </w:r>
          </w:p>
          <w:p w14:paraId="19FF1114" w14:textId="36430C9E"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primary school</w:t>
            </w:r>
          </w:p>
          <w:p w14:paraId="693EF625" w14:textId="77777777"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lower secondary school</w:t>
            </w:r>
          </w:p>
          <w:p w14:paraId="6E3FA384" w14:textId="6CE4BA97"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upper secondary school</w:t>
            </w:r>
          </w:p>
        </w:tc>
        <w:tc>
          <w:tcPr>
            <w:tcW w:w="314" w:type="pct"/>
            <w:vMerge w:val="restart"/>
            <w:vAlign w:val="center"/>
          </w:tcPr>
          <w:p w14:paraId="1A70E010" w14:textId="77777777" w:rsidR="00C07072" w:rsidRPr="00A65412" w:rsidRDefault="00C07072" w:rsidP="00184895">
            <w:pPr>
              <w:keepLines/>
              <w:jc w:val="center"/>
              <w:rPr>
                <w:sz w:val="16"/>
                <w:szCs w:val="16"/>
                <w:lang w:val="en-GB"/>
              </w:rPr>
            </w:pPr>
          </w:p>
        </w:tc>
      </w:tr>
      <w:tr w:rsidR="00C07072" w:rsidRPr="00A65412" w14:paraId="063ED31D" w14:textId="77777777" w:rsidTr="00C07072">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6FB7361" w14:textId="77777777" w:rsidR="00C07072" w:rsidRPr="00A65412" w:rsidRDefault="00C07072" w:rsidP="00184895">
            <w:pPr>
              <w:keepNext/>
              <w:keepLines/>
              <w:rPr>
                <w:sz w:val="16"/>
                <w:szCs w:val="16"/>
                <w:lang w:val="en-GB"/>
              </w:rPr>
            </w:pPr>
          </w:p>
        </w:tc>
        <w:tc>
          <w:tcPr>
            <w:tcW w:w="420" w:type="pct"/>
            <w:vMerge/>
            <w:vAlign w:val="center"/>
          </w:tcPr>
          <w:p w14:paraId="278653F7" w14:textId="77777777" w:rsidR="00C07072" w:rsidRPr="00A65412" w:rsidRDefault="00C07072" w:rsidP="00184895">
            <w:pPr>
              <w:keepNext/>
              <w:keepLines/>
              <w:jc w:val="center"/>
              <w:rPr>
                <w:sz w:val="16"/>
                <w:szCs w:val="16"/>
                <w:lang w:val="en-GB"/>
              </w:rPr>
            </w:pPr>
          </w:p>
        </w:tc>
        <w:tc>
          <w:tcPr>
            <w:tcW w:w="356" w:type="pct"/>
            <w:vMerge/>
            <w:vAlign w:val="center"/>
          </w:tcPr>
          <w:p w14:paraId="674FEACB"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2A582A5" w14:textId="7DDEA3FF" w:rsidR="00C07072" w:rsidRPr="00A65412" w:rsidRDefault="00C07072" w:rsidP="00184895">
            <w:pPr>
              <w:keepNext/>
              <w:keepLines/>
              <w:rPr>
                <w:sz w:val="16"/>
                <w:szCs w:val="16"/>
                <w:lang w:val="en-GB"/>
              </w:rPr>
            </w:pPr>
            <w:r w:rsidRPr="00A65412">
              <w:rPr>
                <w:sz w:val="16"/>
                <w:szCs w:val="16"/>
                <w:lang w:val="en-GB"/>
              </w:rPr>
              <w:t>Net attendance ratio (adjusted) for the poorest quintile divided by net attendance ratio (adjusted) for the richest quintile</w:t>
            </w:r>
          </w:p>
          <w:p w14:paraId="0A662EEA" w14:textId="4CE18B2A"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organised learning (one year younger than the official primary school entry age)</w:t>
            </w:r>
          </w:p>
          <w:p w14:paraId="229196A3" w14:textId="3E2E1EF3"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primary school</w:t>
            </w:r>
          </w:p>
          <w:p w14:paraId="464CA284" w14:textId="77777777"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lower secondary school</w:t>
            </w:r>
          </w:p>
          <w:p w14:paraId="10673C95" w14:textId="5A181B21"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upper secondary school</w:t>
            </w:r>
          </w:p>
        </w:tc>
        <w:tc>
          <w:tcPr>
            <w:tcW w:w="314" w:type="pct"/>
            <w:vMerge/>
            <w:vAlign w:val="center"/>
          </w:tcPr>
          <w:p w14:paraId="638BD387" w14:textId="77777777" w:rsidR="00C07072" w:rsidRPr="00A65412" w:rsidRDefault="00C07072" w:rsidP="00184895">
            <w:pPr>
              <w:keepLines/>
              <w:jc w:val="center"/>
              <w:rPr>
                <w:sz w:val="16"/>
                <w:szCs w:val="16"/>
                <w:lang w:val="en-GB"/>
              </w:rPr>
            </w:pPr>
          </w:p>
        </w:tc>
      </w:tr>
      <w:tr w:rsidR="00C07072" w:rsidRPr="00A65412" w14:paraId="6B08B2F5" w14:textId="77777777" w:rsidTr="00C07072">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EAE256D" w14:textId="77777777" w:rsidR="00C07072" w:rsidRPr="00A65412" w:rsidRDefault="00C07072" w:rsidP="00184895">
            <w:pPr>
              <w:keepNext/>
              <w:keepLines/>
              <w:rPr>
                <w:sz w:val="16"/>
                <w:szCs w:val="16"/>
                <w:lang w:val="en-GB"/>
              </w:rPr>
            </w:pPr>
          </w:p>
        </w:tc>
        <w:tc>
          <w:tcPr>
            <w:tcW w:w="420" w:type="pct"/>
            <w:vMerge/>
            <w:vAlign w:val="center"/>
          </w:tcPr>
          <w:p w14:paraId="69DE95DF" w14:textId="77777777" w:rsidR="00C07072" w:rsidRPr="00A65412" w:rsidRDefault="00C07072" w:rsidP="00184895">
            <w:pPr>
              <w:keepNext/>
              <w:keepLines/>
              <w:jc w:val="center"/>
              <w:rPr>
                <w:sz w:val="16"/>
                <w:szCs w:val="16"/>
                <w:lang w:val="en-GB"/>
              </w:rPr>
            </w:pPr>
          </w:p>
        </w:tc>
        <w:tc>
          <w:tcPr>
            <w:tcW w:w="356" w:type="pct"/>
            <w:vMerge/>
            <w:vAlign w:val="center"/>
          </w:tcPr>
          <w:p w14:paraId="1B286C99"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1A4CC8B5" w14:textId="61391390" w:rsidR="00C07072" w:rsidRPr="00A65412" w:rsidRDefault="00C07072" w:rsidP="00184895">
            <w:pPr>
              <w:keepNext/>
              <w:keepLines/>
              <w:rPr>
                <w:sz w:val="16"/>
                <w:szCs w:val="16"/>
                <w:lang w:val="en-GB"/>
              </w:rPr>
            </w:pPr>
            <w:r w:rsidRPr="00A65412">
              <w:rPr>
                <w:sz w:val="16"/>
                <w:szCs w:val="16"/>
                <w:lang w:val="en-GB"/>
              </w:rPr>
              <w:t>Net attendance ratio (adjusted) for rural residents divided by net attendance ratio (adjusted) for urban residents</w:t>
            </w:r>
          </w:p>
          <w:p w14:paraId="5CD3C041" w14:textId="42835B46"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organised learning (one year younger than the official primary school entry age)</w:t>
            </w:r>
          </w:p>
          <w:p w14:paraId="0EBC9409" w14:textId="03A49AD0"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primary school</w:t>
            </w:r>
          </w:p>
          <w:p w14:paraId="7387D8CC" w14:textId="77777777"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lower secondary school</w:t>
            </w:r>
          </w:p>
          <w:p w14:paraId="4D77FA1D" w14:textId="687DCCD0"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upper secondary school</w:t>
            </w:r>
          </w:p>
        </w:tc>
        <w:tc>
          <w:tcPr>
            <w:tcW w:w="314" w:type="pct"/>
            <w:vMerge/>
            <w:vAlign w:val="center"/>
          </w:tcPr>
          <w:p w14:paraId="0EC307A3" w14:textId="77777777" w:rsidR="00C07072" w:rsidRPr="00A65412" w:rsidRDefault="00C07072" w:rsidP="00184895">
            <w:pPr>
              <w:keepLines/>
              <w:jc w:val="center"/>
              <w:rPr>
                <w:sz w:val="16"/>
                <w:szCs w:val="16"/>
                <w:lang w:val="en-GB"/>
              </w:rPr>
            </w:pPr>
          </w:p>
        </w:tc>
      </w:tr>
      <w:tr w:rsidR="00C07072" w:rsidRPr="00A65412" w14:paraId="6DFD1998" w14:textId="77777777" w:rsidTr="00C07072">
        <w:tblPrEx>
          <w:jc w:val="left"/>
        </w:tblPrEx>
        <w:trPr>
          <w:cantSplit/>
          <w:trHeight w:val="278"/>
        </w:trPr>
        <w:tc>
          <w:tcPr>
            <w:tcW w:w="261" w:type="pct"/>
            <w:vMerge/>
            <w:tcBorders>
              <w:right w:val="single" w:sz="4" w:space="0" w:color="auto"/>
            </w:tcBorders>
            <w:shd w:val="clear" w:color="auto" w:fill="auto"/>
            <w:tcMar>
              <w:top w:w="72" w:type="dxa"/>
              <w:left w:w="72" w:type="dxa"/>
              <w:bottom w:w="72" w:type="dxa"/>
              <w:right w:w="72" w:type="dxa"/>
            </w:tcMar>
            <w:vAlign w:val="center"/>
          </w:tcPr>
          <w:p w14:paraId="20FB9E3C"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6FF23072" w14:textId="77777777" w:rsidR="00C07072" w:rsidRPr="00A65412" w:rsidRDefault="00C07072" w:rsidP="00184895">
            <w:pPr>
              <w:keepNext/>
              <w:keepLines/>
              <w:rPr>
                <w:sz w:val="16"/>
                <w:szCs w:val="16"/>
                <w:lang w:val="en-GB"/>
              </w:rPr>
            </w:pPr>
          </w:p>
        </w:tc>
        <w:tc>
          <w:tcPr>
            <w:tcW w:w="420" w:type="pct"/>
            <w:vMerge/>
            <w:vAlign w:val="center"/>
          </w:tcPr>
          <w:p w14:paraId="39397EA6" w14:textId="77777777" w:rsidR="00C07072" w:rsidRPr="00A65412" w:rsidRDefault="00C07072" w:rsidP="00184895">
            <w:pPr>
              <w:keepNext/>
              <w:keepLines/>
              <w:jc w:val="center"/>
              <w:rPr>
                <w:sz w:val="16"/>
                <w:szCs w:val="16"/>
                <w:lang w:val="en-GB"/>
              </w:rPr>
            </w:pPr>
          </w:p>
        </w:tc>
        <w:tc>
          <w:tcPr>
            <w:tcW w:w="356" w:type="pct"/>
            <w:vMerge/>
            <w:vAlign w:val="center"/>
          </w:tcPr>
          <w:p w14:paraId="6DBC7C3F"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51222B9F"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girls divided by foundational learning skills for boys</w:t>
            </w:r>
          </w:p>
          <w:p w14:paraId="26F042DD" w14:textId="77777777" w:rsidR="00C07072" w:rsidRPr="00A65412" w:rsidRDefault="00C07072" w:rsidP="00644A8A">
            <w:pPr>
              <w:pStyle w:val="ListParagraph"/>
              <w:keepNext/>
              <w:keepLines/>
              <w:numPr>
                <w:ilvl w:val="0"/>
                <w:numId w:val="18"/>
              </w:numPr>
              <w:rPr>
                <w:sz w:val="16"/>
                <w:szCs w:val="16"/>
                <w:lang w:val="en-GB"/>
              </w:rPr>
            </w:pPr>
            <w:r w:rsidRPr="00A65412">
              <w:rPr>
                <w:sz w:val="16"/>
                <w:szCs w:val="16"/>
                <w:lang w:val="en-GB"/>
              </w:rPr>
              <w:t>reading age 7-14 years</w:t>
            </w:r>
          </w:p>
          <w:p w14:paraId="72F763D6" w14:textId="07E83511" w:rsidR="00C07072" w:rsidRPr="00A65412" w:rsidRDefault="00C07072" w:rsidP="00644A8A">
            <w:pPr>
              <w:pStyle w:val="ListParagraph"/>
              <w:keepNext/>
              <w:keepLines/>
              <w:numPr>
                <w:ilvl w:val="0"/>
                <w:numId w:val="18"/>
              </w:numPr>
              <w:rPr>
                <w:sz w:val="16"/>
                <w:szCs w:val="16"/>
                <w:lang w:val="en-GB"/>
              </w:rPr>
            </w:pPr>
            <w:r w:rsidRPr="00A65412">
              <w:rPr>
                <w:sz w:val="16"/>
                <w:szCs w:val="16"/>
                <w:lang w:val="en-GB"/>
              </w:rPr>
              <w:t>numeracy age 7-14 years</w:t>
            </w:r>
          </w:p>
        </w:tc>
        <w:tc>
          <w:tcPr>
            <w:tcW w:w="314" w:type="pct"/>
            <w:vMerge/>
            <w:vAlign w:val="center"/>
          </w:tcPr>
          <w:p w14:paraId="17BDF8C3" w14:textId="77777777" w:rsidR="00C07072" w:rsidRPr="00A65412" w:rsidRDefault="00C07072" w:rsidP="00184895">
            <w:pPr>
              <w:keepLines/>
              <w:jc w:val="center"/>
              <w:rPr>
                <w:sz w:val="16"/>
                <w:szCs w:val="16"/>
                <w:lang w:val="en-GB"/>
              </w:rPr>
            </w:pPr>
          </w:p>
        </w:tc>
      </w:tr>
      <w:tr w:rsidR="00C07072" w:rsidRPr="00A65412" w14:paraId="6BB6E306" w14:textId="77777777" w:rsidTr="00C07072">
        <w:tblPrEx>
          <w:jc w:val="left"/>
        </w:tblPrEx>
        <w:trPr>
          <w:cantSplit/>
          <w:trHeight w:val="395"/>
        </w:trPr>
        <w:tc>
          <w:tcPr>
            <w:tcW w:w="261" w:type="pct"/>
            <w:vMerge/>
            <w:tcBorders>
              <w:right w:val="single" w:sz="4" w:space="0" w:color="auto"/>
            </w:tcBorders>
            <w:shd w:val="clear" w:color="auto" w:fill="auto"/>
            <w:tcMar>
              <w:top w:w="72" w:type="dxa"/>
              <w:left w:w="72" w:type="dxa"/>
              <w:bottom w:w="72" w:type="dxa"/>
              <w:right w:w="72" w:type="dxa"/>
            </w:tcMar>
            <w:vAlign w:val="center"/>
          </w:tcPr>
          <w:p w14:paraId="21CBC45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1393692" w14:textId="77777777" w:rsidR="00C07072" w:rsidRPr="00A65412" w:rsidRDefault="00C07072" w:rsidP="00184895">
            <w:pPr>
              <w:keepNext/>
              <w:keepLines/>
              <w:rPr>
                <w:sz w:val="16"/>
                <w:szCs w:val="16"/>
                <w:lang w:val="en-GB"/>
              </w:rPr>
            </w:pPr>
          </w:p>
        </w:tc>
        <w:tc>
          <w:tcPr>
            <w:tcW w:w="420" w:type="pct"/>
            <w:vMerge/>
            <w:vAlign w:val="center"/>
          </w:tcPr>
          <w:p w14:paraId="2AEF5283" w14:textId="77777777" w:rsidR="00C07072" w:rsidRPr="00A65412" w:rsidRDefault="00C07072" w:rsidP="00184895">
            <w:pPr>
              <w:keepNext/>
              <w:keepLines/>
              <w:jc w:val="center"/>
              <w:rPr>
                <w:sz w:val="16"/>
                <w:szCs w:val="16"/>
                <w:lang w:val="en-GB"/>
              </w:rPr>
            </w:pPr>
          </w:p>
        </w:tc>
        <w:tc>
          <w:tcPr>
            <w:tcW w:w="356" w:type="pct"/>
            <w:vMerge/>
            <w:vAlign w:val="center"/>
          </w:tcPr>
          <w:p w14:paraId="3A3D2C67"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C2DFB59"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the poorest quintile divided by foundational learning skills for the richest quintile</w:t>
            </w:r>
          </w:p>
          <w:p w14:paraId="2D0433F0" w14:textId="77777777" w:rsidR="00C07072" w:rsidRPr="00A65412" w:rsidRDefault="00C07072" w:rsidP="00644A8A">
            <w:pPr>
              <w:pStyle w:val="ListParagraph"/>
              <w:keepNext/>
              <w:keepLines/>
              <w:numPr>
                <w:ilvl w:val="0"/>
                <w:numId w:val="36"/>
              </w:numPr>
              <w:rPr>
                <w:sz w:val="16"/>
                <w:szCs w:val="16"/>
                <w:lang w:val="en-GB"/>
              </w:rPr>
            </w:pPr>
            <w:r w:rsidRPr="00A65412">
              <w:rPr>
                <w:sz w:val="16"/>
                <w:szCs w:val="16"/>
                <w:lang w:val="en-GB"/>
              </w:rPr>
              <w:t>reading age 7-14 years</w:t>
            </w:r>
          </w:p>
          <w:p w14:paraId="57DD49D4" w14:textId="5A168549" w:rsidR="00C07072" w:rsidRPr="00A65412" w:rsidRDefault="00C07072" w:rsidP="00644A8A">
            <w:pPr>
              <w:pStyle w:val="ListParagraph"/>
              <w:keepNext/>
              <w:keepLines/>
              <w:numPr>
                <w:ilvl w:val="0"/>
                <w:numId w:val="36"/>
              </w:numPr>
              <w:rPr>
                <w:sz w:val="16"/>
                <w:szCs w:val="16"/>
                <w:lang w:val="en-GB"/>
              </w:rPr>
            </w:pPr>
            <w:r w:rsidRPr="00A65412">
              <w:rPr>
                <w:sz w:val="16"/>
                <w:szCs w:val="16"/>
                <w:lang w:val="en-GB"/>
              </w:rPr>
              <w:t>numeracy age 7-14 years</w:t>
            </w:r>
          </w:p>
        </w:tc>
        <w:tc>
          <w:tcPr>
            <w:tcW w:w="314" w:type="pct"/>
            <w:vMerge/>
            <w:vAlign w:val="center"/>
          </w:tcPr>
          <w:p w14:paraId="5F661EC2" w14:textId="77777777" w:rsidR="00C07072" w:rsidRPr="00A65412" w:rsidRDefault="00C07072" w:rsidP="00184895">
            <w:pPr>
              <w:keepLines/>
              <w:jc w:val="center"/>
              <w:rPr>
                <w:sz w:val="16"/>
                <w:szCs w:val="16"/>
                <w:lang w:val="en-GB"/>
              </w:rPr>
            </w:pPr>
          </w:p>
        </w:tc>
      </w:tr>
      <w:tr w:rsidR="00C07072" w:rsidRPr="00A65412" w14:paraId="676451E2" w14:textId="77777777" w:rsidTr="00C07072">
        <w:tblPrEx>
          <w:jc w:val="left"/>
        </w:tblPrEx>
        <w:trPr>
          <w:cantSplit/>
          <w:trHeight w:val="341"/>
        </w:trPr>
        <w:tc>
          <w:tcPr>
            <w:tcW w:w="261" w:type="pct"/>
            <w:vMerge/>
            <w:tcBorders>
              <w:right w:val="single" w:sz="4" w:space="0" w:color="auto"/>
            </w:tcBorders>
            <w:shd w:val="clear" w:color="auto" w:fill="auto"/>
            <w:tcMar>
              <w:top w:w="72" w:type="dxa"/>
              <w:left w:w="72" w:type="dxa"/>
              <w:bottom w:w="72" w:type="dxa"/>
              <w:right w:w="72" w:type="dxa"/>
            </w:tcMar>
            <w:vAlign w:val="center"/>
          </w:tcPr>
          <w:p w14:paraId="62304242"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06AB929" w14:textId="77777777" w:rsidR="00C07072" w:rsidRPr="00A65412" w:rsidRDefault="00C07072" w:rsidP="00184895">
            <w:pPr>
              <w:keepNext/>
              <w:keepLines/>
              <w:rPr>
                <w:sz w:val="16"/>
                <w:szCs w:val="16"/>
                <w:lang w:val="en-GB"/>
              </w:rPr>
            </w:pPr>
          </w:p>
        </w:tc>
        <w:tc>
          <w:tcPr>
            <w:tcW w:w="420" w:type="pct"/>
            <w:vMerge/>
            <w:vAlign w:val="center"/>
          </w:tcPr>
          <w:p w14:paraId="494E5C45" w14:textId="77777777" w:rsidR="00C07072" w:rsidRPr="00A65412" w:rsidRDefault="00C07072" w:rsidP="00184895">
            <w:pPr>
              <w:keepNext/>
              <w:keepLines/>
              <w:jc w:val="center"/>
              <w:rPr>
                <w:sz w:val="16"/>
                <w:szCs w:val="16"/>
                <w:lang w:val="en-GB"/>
              </w:rPr>
            </w:pPr>
          </w:p>
        </w:tc>
        <w:tc>
          <w:tcPr>
            <w:tcW w:w="356" w:type="pct"/>
            <w:vMerge/>
            <w:vAlign w:val="center"/>
          </w:tcPr>
          <w:p w14:paraId="5E369F00"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5DBC20C"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rural residents divided by foundational learning skills for urban residents</w:t>
            </w:r>
          </w:p>
          <w:p w14:paraId="0E00E37E" w14:textId="77777777" w:rsidR="00C07072" w:rsidRPr="00A65412" w:rsidRDefault="00C07072" w:rsidP="00644A8A">
            <w:pPr>
              <w:pStyle w:val="ListParagraph"/>
              <w:keepNext/>
              <w:keepLines/>
              <w:numPr>
                <w:ilvl w:val="0"/>
                <w:numId w:val="37"/>
              </w:numPr>
              <w:rPr>
                <w:sz w:val="16"/>
                <w:szCs w:val="16"/>
                <w:lang w:val="en-GB"/>
              </w:rPr>
            </w:pPr>
            <w:r w:rsidRPr="00A65412">
              <w:rPr>
                <w:sz w:val="16"/>
                <w:szCs w:val="16"/>
                <w:lang w:val="en-GB"/>
              </w:rPr>
              <w:t>reading age 7-14 years</w:t>
            </w:r>
          </w:p>
          <w:p w14:paraId="707EBE54" w14:textId="282AD382" w:rsidR="00C07072" w:rsidRPr="00A65412" w:rsidRDefault="00C07072" w:rsidP="00644A8A">
            <w:pPr>
              <w:pStyle w:val="ListParagraph"/>
              <w:keepNext/>
              <w:keepLines/>
              <w:numPr>
                <w:ilvl w:val="0"/>
                <w:numId w:val="37"/>
              </w:numPr>
              <w:rPr>
                <w:sz w:val="16"/>
                <w:szCs w:val="16"/>
                <w:lang w:val="en-GB"/>
              </w:rPr>
            </w:pPr>
            <w:r w:rsidRPr="00A65412">
              <w:rPr>
                <w:sz w:val="16"/>
                <w:szCs w:val="16"/>
                <w:lang w:val="en-GB"/>
              </w:rPr>
              <w:t>numeracy age 7-14 years</w:t>
            </w:r>
          </w:p>
        </w:tc>
        <w:tc>
          <w:tcPr>
            <w:tcW w:w="314" w:type="pct"/>
            <w:vMerge/>
            <w:vAlign w:val="center"/>
          </w:tcPr>
          <w:p w14:paraId="49589BF8" w14:textId="77777777" w:rsidR="00C07072" w:rsidRPr="00A65412" w:rsidRDefault="00C07072" w:rsidP="00184895">
            <w:pPr>
              <w:keepLines/>
              <w:jc w:val="center"/>
              <w:rPr>
                <w:sz w:val="16"/>
                <w:szCs w:val="16"/>
                <w:lang w:val="en-GB"/>
              </w:rPr>
            </w:pPr>
          </w:p>
        </w:tc>
      </w:tr>
      <w:tr w:rsidR="00C07072" w:rsidRPr="00EF64EC" w14:paraId="6E674716" w14:textId="77777777" w:rsidTr="00FC30F8">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0EA62E4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184B530F" w14:textId="77777777" w:rsidR="00C07072" w:rsidRPr="00A65412" w:rsidRDefault="00C07072" w:rsidP="00184895">
            <w:pPr>
              <w:keepNext/>
              <w:keepLines/>
              <w:rPr>
                <w:sz w:val="16"/>
                <w:szCs w:val="16"/>
                <w:lang w:val="en-GB"/>
              </w:rPr>
            </w:pPr>
          </w:p>
        </w:tc>
        <w:tc>
          <w:tcPr>
            <w:tcW w:w="420" w:type="pct"/>
            <w:vMerge/>
            <w:vAlign w:val="center"/>
          </w:tcPr>
          <w:p w14:paraId="1CBE2F6F" w14:textId="77777777" w:rsidR="00C07072" w:rsidRPr="00A65412" w:rsidRDefault="00C07072" w:rsidP="00184895">
            <w:pPr>
              <w:keepNext/>
              <w:keepLines/>
              <w:jc w:val="center"/>
              <w:rPr>
                <w:sz w:val="16"/>
                <w:szCs w:val="16"/>
                <w:lang w:val="en-GB"/>
              </w:rPr>
            </w:pPr>
          </w:p>
        </w:tc>
        <w:tc>
          <w:tcPr>
            <w:tcW w:w="356" w:type="pct"/>
            <w:vMerge/>
            <w:vAlign w:val="center"/>
          </w:tcPr>
          <w:p w14:paraId="472E65A7" w14:textId="77777777" w:rsidR="00C07072" w:rsidRPr="00A65412" w:rsidRDefault="00C07072" w:rsidP="00184895">
            <w:pPr>
              <w:keepNext/>
              <w:keepLines/>
              <w:jc w:val="center"/>
              <w:rPr>
                <w:sz w:val="16"/>
                <w:szCs w:val="16"/>
                <w:lang w:val="en-GB"/>
              </w:rPr>
            </w:pPr>
          </w:p>
        </w:tc>
        <w:tc>
          <w:tcPr>
            <w:tcW w:w="2812" w:type="pct"/>
            <w:tcBorders>
              <w:top w:val="nil"/>
            </w:tcBorders>
          </w:tcPr>
          <w:p w14:paraId="3D2723BA"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children with functional difficulties divided by foundational learning skills for children without functional difficulties</w:t>
            </w:r>
          </w:p>
          <w:p w14:paraId="64538EDF" w14:textId="77777777" w:rsidR="00C07072" w:rsidRPr="00A65412" w:rsidRDefault="00C07072" w:rsidP="00644A8A">
            <w:pPr>
              <w:pStyle w:val="ListParagraph"/>
              <w:keepNext/>
              <w:keepLines/>
              <w:numPr>
                <w:ilvl w:val="0"/>
                <w:numId w:val="38"/>
              </w:numPr>
              <w:rPr>
                <w:sz w:val="16"/>
                <w:szCs w:val="16"/>
                <w:lang w:val="en-GB"/>
              </w:rPr>
            </w:pPr>
            <w:r w:rsidRPr="00A65412">
              <w:rPr>
                <w:sz w:val="16"/>
                <w:szCs w:val="16"/>
                <w:lang w:val="en-GB"/>
              </w:rPr>
              <w:t>reading age 7-14 years</w:t>
            </w:r>
          </w:p>
          <w:p w14:paraId="59FE9793" w14:textId="4DFC54F1" w:rsidR="00C07072" w:rsidRPr="00A65412" w:rsidRDefault="00C07072" w:rsidP="00644A8A">
            <w:pPr>
              <w:pStyle w:val="ListParagraph"/>
              <w:keepNext/>
              <w:keepLines/>
              <w:numPr>
                <w:ilvl w:val="0"/>
                <w:numId w:val="38"/>
              </w:numPr>
              <w:rPr>
                <w:sz w:val="16"/>
                <w:szCs w:val="16"/>
                <w:lang w:val="en-GB"/>
              </w:rPr>
            </w:pPr>
            <w:r w:rsidRPr="00A65412">
              <w:rPr>
                <w:sz w:val="16"/>
                <w:szCs w:val="16"/>
                <w:lang w:val="en-GB"/>
              </w:rPr>
              <w:t>numeracy age 7-14 years</w:t>
            </w:r>
          </w:p>
        </w:tc>
        <w:tc>
          <w:tcPr>
            <w:tcW w:w="314" w:type="pct"/>
            <w:vMerge/>
            <w:vAlign w:val="center"/>
          </w:tcPr>
          <w:p w14:paraId="1709CF6D" w14:textId="77777777" w:rsidR="00C07072" w:rsidRPr="00EF64EC" w:rsidRDefault="00C07072" w:rsidP="00184895">
            <w:pPr>
              <w:keepLines/>
              <w:jc w:val="center"/>
              <w:rPr>
                <w:sz w:val="16"/>
                <w:szCs w:val="16"/>
                <w:lang w:val="en-GB"/>
              </w:rPr>
            </w:pPr>
          </w:p>
        </w:tc>
      </w:tr>
      <w:bookmarkEnd w:id="4"/>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5"/>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7-14</w:t>
            </w:r>
          </w:p>
          <w:p w14:paraId="03301A3E"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676B64E8"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7-14</w:t>
            </w:r>
          </w:p>
          <w:p w14:paraId="361A85E3"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328F3885"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422"/>
        <w:gridCol w:w="902"/>
        <w:gridCol w:w="991"/>
        <w:gridCol w:w="8012"/>
        <w:gridCol w:w="866"/>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33748B1F"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2D5DB48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45CCD68"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9"/>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644A8A">
            <w:pPr>
              <w:numPr>
                <w:ilvl w:val="0"/>
                <w:numId w:val="13"/>
              </w:numPr>
              <w:contextualSpacing/>
              <w:rPr>
                <w:sz w:val="16"/>
                <w:szCs w:val="16"/>
                <w:lang w:val="en-GB"/>
              </w:rPr>
            </w:pPr>
            <w:r>
              <w:rPr>
                <w:sz w:val="16"/>
                <w:szCs w:val="16"/>
                <w:lang w:val="en-GB"/>
              </w:rPr>
              <w:t>before age 15</w:t>
            </w:r>
          </w:p>
          <w:p w14:paraId="388E92CB" w14:textId="77777777" w:rsidR="00184895" w:rsidRDefault="00184895" w:rsidP="00644A8A">
            <w:pPr>
              <w:numPr>
                <w:ilvl w:val="0"/>
                <w:numId w:val="13"/>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644A8A">
            <w:pPr>
              <w:numPr>
                <w:ilvl w:val="0"/>
                <w:numId w:val="26"/>
              </w:numPr>
              <w:contextualSpacing/>
              <w:rPr>
                <w:sz w:val="16"/>
                <w:szCs w:val="16"/>
                <w:lang w:val="en-GB"/>
              </w:rPr>
            </w:pPr>
            <w:r>
              <w:rPr>
                <w:sz w:val="16"/>
                <w:szCs w:val="16"/>
                <w:lang w:val="en-GB"/>
              </w:rPr>
              <w:t>before age 15</w:t>
            </w:r>
          </w:p>
          <w:p w14:paraId="1B75D7D9" w14:textId="2B8F9EF1" w:rsidR="00134D1E" w:rsidRPr="00EF64EC" w:rsidRDefault="00134D1E" w:rsidP="00644A8A">
            <w:pPr>
              <w:numPr>
                <w:ilvl w:val="0"/>
                <w:numId w:val="2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644A8A">
            <w:pPr>
              <w:numPr>
                <w:ilvl w:val="0"/>
                <w:numId w:val="6"/>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644A8A">
            <w:pPr>
              <w:numPr>
                <w:ilvl w:val="0"/>
                <w:numId w:val="6"/>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472"/>
        <w:gridCol w:w="902"/>
        <w:gridCol w:w="985"/>
        <w:gridCol w:w="8015"/>
        <w:gridCol w:w="869"/>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0198DCF5"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13A9828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15D42BD0"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5B8E2E6A" w:rsidR="00AB3642" w:rsidRPr="00EF64EC" w:rsidRDefault="00AB3642" w:rsidP="00AB3642">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005B3178" w:rsidRPr="005B3178">
              <w:rPr>
                <w:bCs/>
                <w:sz w:val="16"/>
                <w:szCs w:val="16"/>
              </w:rPr>
              <w:t>with waste never emptied or emptied and buried in a covered pit</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CD70996"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w:t>
            </w:r>
            <w:r w:rsidR="005B3178" w:rsidRPr="005B3178">
              <w:rPr>
                <w:bCs/>
                <w:sz w:val="16"/>
                <w:szCs w:val="16"/>
              </w:rPr>
              <w:t>removed by a service provider for treatment off-site</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5C1378C8"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0B6471A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97EAA2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6"/>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644A8A">
            <w:pPr>
              <w:numPr>
                <w:ilvl w:val="0"/>
                <w:numId w:val="7"/>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age 5-17</w:t>
            </w:r>
          </w:p>
          <w:p w14:paraId="33F33D5E"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20"/>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644A8A">
            <w:pPr>
              <w:numPr>
                <w:ilvl w:val="0"/>
                <w:numId w:val="14"/>
              </w:numPr>
              <w:contextualSpacing/>
              <w:rPr>
                <w:sz w:val="16"/>
                <w:szCs w:val="16"/>
                <w:lang w:val="en-GB"/>
              </w:rPr>
            </w:pPr>
            <w:r w:rsidRPr="00EF64EC">
              <w:rPr>
                <w:sz w:val="16"/>
                <w:szCs w:val="16"/>
                <w:lang w:val="en-GB"/>
              </w:rPr>
              <w:t>age 15-24</w:t>
            </w:r>
          </w:p>
          <w:p w14:paraId="0D1B0CA6" w14:textId="77777777" w:rsidR="00D2692E" w:rsidRDefault="00D2692E" w:rsidP="00644A8A">
            <w:pPr>
              <w:numPr>
                <w:ilvl w:val="0"/>
                <w:numId w:val="14"/>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644A8A">
            <w:pPr>
              <w:numPr>
                <w:ilvl w:val="0"/>
                <w:numId w:val="27"/>
              </w:numPr>
              <w:contextualSpacing/>
              <w:rPr>
                <w:sz w:val="16"/>
                <w:szCs w:val="16"/>
                <w:lang w:val="en-GB"/>
              </w:rPr>
            </w:pPr>
            <w:r w:rsidRPr="00EF64EC">
              <w:rPr>
                <w:sz w:val="16"/>
                <w:szCs w:val="16"/>
                <w:lang w:val="en-GB"/>
              </w:rPr>
              <w:t>age 15-24</w:t>
            </w:r>
          </w:p>
          <w:p w14:paraId="56725176" w14:textId="6CBF80FD" w:rsidR="009A660D" w:rsidRPr="00EF64EC" w:rsidRDefault="009A660D" w:rsidP="00644A8A">
            <w:pPr>
              <w:numPr>
                <w:ilvl w:val="0"/>
                <w:numId w:val="2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644A8A">
            <w:pPr>
              <w:numPr>
                <w:ilvl w:val="0"/>
                <w:numId w:val="15"/>
              </w:numPr>
              <w:contextualSpacing/>
              <w:rPr>
                <w:sz w:val="16"/>
                <w:szCs w:val="16"/>
                <w:lang w:val="en-GB"/>
              </w:rPr>
            </w:pPr>
            <w:r w:rsidRPr="00EF64EC">
              <w:rPr>
                <w:sz w:val="16"/>
                <w:szCs w:val="16"/>
                <w:lang w:val="en-GB"/>
              </w:rPr>
              <w:t>age 15-24</w:t>
            </w:r>
          </w:p>
          <w:p w14:paraId="447D1CB6" w14:textId="77777777" w:rsidR="00D2692E" w:rsidRDefault="00D2692E" w:rsidP="00644A8A">
            <w:pPr>
              <w:numPr>
                <w:ilvl w:val="0"/>
                <w:numId w:val="15"/>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644A8A">
            <w:pPr>
              <w:numPr>
                <w:ilvl w:val="0"/>
                <w:numId w:val="28"/>
              </w:numPr>
              <w:contextualSpacing/>
              <w:rPr>
                <w:sz w:val="16"/>
                <w:szCs w:val="16"/>
                <w:lang w:val="en-GB"/>
              </w:rPr>
            </w:pPr>
            <w:r w:rsidRPr="00EF64EC">
              <w:rPr>
                <w:sz w:val="16"/>
                <w:szCs w:val="16"/>
                <w:lang w:val="en-GB"/>
              </w:rPr>
              <w:t>age 15-24</w:t>
            </w:r>
          </w:p>
          <w:p w14:paraId="5447EBC4" w14:textId="031E4342" w:rsidR="009A660D" w:rsidRPr="00EF64EC" w:rsidRDefault="009A660D" w:rsidP="00644A8A">
            <w:pPr>
              <w:numPr>
                <w:ilvl w:val="0"/>
                <w:numId w:val="2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644A8A">
            <w:pPr>
              <w:numPr>
                <w:ilvl w:val="0"/>
                <w:numId w:val="16"/>
              </w:numPr>
              <w:contextualSpacing/>
              <w:rPr>
                <w:sz w:val="16"/>
                <w:szCs w:val="16"/>
                <w:lang w:val="en-GB"/>
              </w:rPr>
            </w:pPr>
            <w:r w:rsidRPr="00EF64EC">
              <w:rPr>
                <w:sz w:val="16"/>
                <w:szCs w:val="16"/>
                <w:lang w:val="en-GB"/>
              </w:rPr>
              <w:t>age 15-24</w:t>
            </w:r>
          </w:p>
          <w:p w14:paraId="3BAFCE4F" w14:textId="77777777" w:rsidR="00D2692E" w:rsidRDefault="00D2692E" w:rsidP="00644A8A">
            <w:pPr>
              <w:numPr>
                <w:ilvl w:val="0"/>
                <w:numId w:val="16"/>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644A8A">
            <w:pPr>
              <w:numPr>
                <w:ilvl w:val="0"/>
                <w:numId w:val="29"/>
              </w:numPr>
              <w:contextualSpacing/>
              <w:rPr>
                <w:sz w:val="16"/>
                <w:szCs w:val="16"/>
                <w:lang w:val="en-GB"/>
              </w:rPr>
            </w:pPr>
            <w:r w:rsidRPr="00EF64EC">
              <w:rPr>
                <w:sz w:val="16"/>
                <w:szCs w:val="16"/>
                <w:lang w:val="en-GB"/>
              </w:rPr>
              <w:t>age 15-24</w:t>
            </w:r>
          </w:p>
          <w:p w14:paraId="3A4174EB" w14:textId="67A71E0C" w:rsidR="009A660D" w:rsidRPr="00EF64EC" w:rsidRDefault="009A660D" w:rsidP="00644A8A">
            <w:pPr>
              <w:numPr>
                <w:ilvl w:val="0"/>
                <w:numId w:val="2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9307B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9031" w14:textId="77777777" w:rsidR="0074772C" w:rsidRDefault="0074772C" w:rsidP="00184895">
      <w:r>
        <w:separator/>
      </w:r>
    </w:p>
  </w:endnote>
  <w:endnote w:type="continuationSeparator" w:id="0">
    <w:p w14:paraId="574A17D4" w14:textId="77777777" w:rsidR="0074772C" w:rsidRDefault="0074772C"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B850" w14:textId="77777777" w:rsidR="0074772C" w:rsidRDefault="0074772C" w:rsidP="00184895">
      <w:r>
        <w:separator/>
      </w:r>
    </w:p>
  </w:footnote>
  <w:footnote w:type="continuationSeparator" w:id="0">
    <w:p w14:paraId="304F95E7" w14:textId="77777777" w:rsidR="0074772C" w:rsidRDefault="0074772C" w:rsidP="00184895">
      <w:r>
        <w:continuationSeparator/>
      </w:r>
    </w:p>
  </w:footnote>
  <w:footnote w:id="1">
    <w:p w14:paraId="2D7C934D"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74772C" w:rsidRPr="00363A4A" w:rsidRDefault="0074772C"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74772C" w:rsidRPr="008B2A8A" w:rsidRDefault="0074772C"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3528322B" w:rsidR="0074772C" w:rsidRPr="008B2A8A" w:rsidRDefault="0074772C"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6">
    <w:p w14:paraId="77B96915" w14:textId="0A0C4803" w:rsidR="0074772C" w:rsidRDefault="0074772C">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7">
    <w:p w14:paraId="64997E2B" w14:textId="77777777" w:rsidR="0074772C" w:rsidRPr="008B2A8A" w:rsidRDefault="0074772C"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14:paraId="6F8A2F5B"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14:paraId="234799F1"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14:paraId="0CE96AFA" w14:textId="03F7FF37" w:rsidR="0074772C" w:rsidRPr="008B2A8A" w:rsidRDefault="0074772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14:paraId="66931AE0" w14:textId="2A58C878" w:rsidR="0074772C" w:rsidRPr="00D8236A" w:rsidRDefault="0074772C" w:rsidP="00D8236A">
      <w:pPr>
        <w:pStyle w:val="CommentText"/>
        <w:rPr>
          <w:sz w:val="16"/>
        </w:rPr>
      </w:pPr>
      <w:r w:rsidRPr="00D8236A">
        <w:rPr>
          <w:rStyle w:val="FootnoteReference"/>
          <w:sz w:val="16"/>
        </w:rPr>
        <w:footnoteRef/>
      </w:r>
      <w:r w:rsidRPr="00D8236A">
        <w:rPr>
          <w:sz w:val="16"/>
        </w:rPr>
        <w:t xml:space="preserve"> Someone talked with the respondent about all three of the following topics: 1) Babies getting the HIV from their mother, 2) preventing HIV and 3) getting tested for HIV</w:t>
      </w:r>
    </w:p>
  </w:footnote>
  <w:footnote w:id="12">
    <w:p w14:paraId="6EF214E4" w14:textId="23CBFCB1" w:rsidR="0074772C" w:rsidRPr="0074772C" w:rsidRDefault="0074772C">
      <w:pPr>
        <w:pStyle w:val="FootnoteText"/>
        <w:rPr>
          <w:sz w:val="16"/>
          <w:szCs w:val="16"/>
        </w:rPr>
      </w:pPr>
      <w:bookmarkStart w:id="2" w:name="_GoBack"/>
      <w:r w:rsidRPr="0074772C">
        <w:rPr>
          <w:rStyle w:val="FootnoteReference"/>
          <w:sz w:val="16"/>
          <w:szCs w:val="16"/>
        </w:rPr>
        <w:footnoteRef/>
      </w:r>
      <w:r w:rsidRPr="0074772C">
        <w:rPr>
          <w:sz w:val="16"/>
          <w:szCs w:val="16"/>
        </w:rPr>
        <w:t xml:space="preserve"> Basic vaccinations </w:t>
      </w:r>
      <w:proofErr w:type="gramStart"/>
      <w:r w:rsidRPr="0074772C">
        <w:rPr>
          <w:sz w:val="16"/>
          <w:szCs w:val="16"/>
        </w:rPr>
        <w:t>include:</w:t>
      </w:r>
      <w:proofErr w:type="gramEnd"/>
      <w:r w:rsidRPr="0074772C">
        <w:rPr>
          <w:sz w:val="16"/>
          <w:szCs w:val="16"/>
        </w:rPr>
        <w:t xml:space="preserve"> BCG, 3 doses of polio, 3 doses of DTP and 1 dose of measles vaccination. All vaccinations include all doses of vaccinations recommended for children under age 2 years in the national schedule.</w:t>
      </w:r>
      <w:bookmarkEnd w:id="2"/>
    </w:p>
  </w:footnote>
  <w:footnote w:id="13">
    <w:p w14:paraId="77C85ACF" w14:textId="538E650B" w:rsidR="0074772C" w:rsidRPr="00D80AE4" w:rsidRDefault="0074772C">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4">
    <w:p w14:paraId="33E35F32"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 and medicines</w:t>
      </w:r>
    </w:p>
  </w:footnote>
  <w:footnote w:id="15">
    <w:p w14:paraId="34C7D1B7" w14:textId="7830B276" w:rsidR="0074772C" w:rsidRPr="008B2A8A" w:rsidRDefault="0074772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w:t>
      </w:r>
      <w:r>
        <w:rPr>
          <w:sz w:val="16"/>
          <w:szCs w:val="16"/>
        </w:rPr>
        <w:t xml:space="preserve">, </w:t>
      </w:r>
      <w:r w:rsidRPr="008B2A8A">
        <w:rPr>
          <w:sz w:val="16"/>
          <w:szCs w:val="16"/>
        </w:rPr>
        <w:t>non-human milk and food-based fluids)</w:t>
      </w:r>
    </w:p>
  </w:footnote>
  <w:footnote w:id="16">
    <w:p w14:paraId="70C51712"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7">
    <w:p w14:paraId="5412F337"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3"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3"/>
    </w:p>
  </w:footnote>
  <w:footnote w:id="18">
    <w:p w14:paraId="7609718C" w14:textId="77777777" w:rsidR="0074772C" w:rsidRPr="008B2A8A" w:rsidRDefault="0074772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9">
    <w:p w14:paraId="63560FA1" w14:textId="55134258" w:rsidR="0074772C" w:rsidRPr="008B2A8A" w:rsidRDefault="0074772C" w:rsidP="00184895">
      <w:pPr>
        <w:pStyle w:val="FootnoteText"/>
        <w:rPr>
          <w:sz w:val="16"/>
          <w:szCs w:val="16"/>
        </w:rPr>
      </w:pPr>
      <w:r w:rsidRPr="002866B7">
        <w:rPr>
          <w:rStyle w:val="FootnoteReference"/>
          <w:sz w:val="16"/>
          <w:szCs w:val="16"/>
        </w:rPr>
        <w:footnoteRef/>
      </w:r>
      <w:r w:rsidRPr="002866B7">
        <w:rPr>
          <w:sz w:val="16"/>
          <w:szCs w:val="16"/>
        </w:rPr>
        <w:t xml:space="preserve"> </w:t>
      </w:r>
      <w:r w:rsidRPr="002866B7">
        <w:rPr>
          <w:sz w:val="16"/>
          <w:szCs w:val="16"/>
          <w:lang w:val="en-GB"/>
        </w:rPr>
        <w:t>Child labourers are defined as children involved in economic activities or in household chores above the age-specific thresholds. While the concept of child labour includes exposure to hazardous working conditions, and this is collected in MICS and was previously included in the reported indicator, the present definition, which is also used for SDG reporting, does not include children who are working under hazardous conditions. See Tables PR.3.1-4 for more detailed information on thresholds and classifications.</w:t>
      </w:r>
    </w:p>
  </w:footnote>
  <w:footnote w:id="20">
    <w:p w14:paraId="77A2726B" w14:textId="77777777" w:rsidR="0074772C" w:rsidRPr="006C79D6" w:rsidRDefault="0074772C"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C552B"/>
    <w:multiLevelType w:val="hybridMultilevel"/>
    <w:tmpl w:val="2AD49336"/>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C5453"/>
    <w:multiLevelType w:val="hybridMultilevel"/>
    <w:tmpl w:val="68501E3A"/>
    <w:lvl w:ilvl="0" w:tplc="5F54797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37066"/>
    <w:multiLevelType w:val="hybridMultilevel"/>
    <w:tmpl w:val="A0160E66"/>
    <w:lvl w:ilvl="0" w:tplc="BDCCAB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6255A"/>
    <w:multiLevelType w:val="hybridMultilevel"/>
    <w:tmpl w:val="390CD3AE"/>
    <w:lvl w:ilvl="0" w:tplc="4B1A8FB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4"/>
  </w:num>
  <w:num w:numId="3">
    <w:abstractNumId w:val="26"/>
  </w:num>
  <w:num w:numId="4">
    <w:abstractNumId w:val="17"/>
  </w:num>
  <w:num w:numId="5">
    <w:abstractNumId w:val="11"/>
  </w:num>
  <w:num w:numId="6">
    <w:abstractNumId w:val="30"/>
  </w:num>
  <w:num w:numId="7">
    <w:abstractNumId w:val="27"/>
  </w:num>
  <w:num w:numId="8">
    <w:abstractNumId w:val="24"/>
  </w:num>
  <w:num w:numId="9">
    <w:abstractNumId w:val="35"/>
  </w:num>
  <w:num w:numId="10">
    <w:abstractNumId w:val="9"/>
  </w:num>
  <w:num w:numId="11">
    <w:abstractNumId w:val="7"/>
  </w:num>
  <w:num w:numId="12">
    <w:abstractNumId w:val="2"/>
  </w:num>
  <w:num w:numId="13">
    <w:abstractNumId w:val="0"/>
  </w:num>
  <w:num w:numId="14">
    <w:abstractNumId w:val="29"/>
  </w:num>
  <w:num w:numId="15">
    <w:abstractNumId w:val="18"/>
  </w:num>
  <w:num w:numId="16">
    <w:abstractNumId w:val="36"/>
  </w:num>
  <w:num w:numId="17">
    <w:abstractNumId w:val="1"/>
  </w:num>
  <w:num w:numId="18">
    <w:abstractNumId w:val="12"/>
  </w:num>
  <w:num w:numId="19">
    <w:abstractNumId w:val="13"/>
  </w:num>
  <w:num w:numId="20">
    <w:abstractNumId w:val="31"/>
  </w:num>
  <w:num w:numId="21">
    <w:abstractNumId w:val="10"/>
  </w:num>
  <w:num w:numId="22">
    <w:abstractNumId w:val="28"/>
  </w:num>
  <w:num w:numId="23">
    <w:abstractNumId w:val="19"/>
  </w:num>
  <w:num w:numId="24">
    <w:abstractNumId w:val="8"/>
  </w:num>
  <w:num w:numId="25">
    <w:abstractNumId w:val="16"/>
  </w:num>
  <w:num w:numId="26">
    <w:abstractNumId w:val="22"/>
  </w:num>
  <w:num w:numId="27">
    <w:abstractNumId w:val="4"/>
  </w:num>
  <w:num w:numId="28">
    <w:abstractNumId w:val="15"/>
  </w:num>
  <w:num w:numId="29">
    <w:abstractNumId w:val="6"/>
  </w:num>
  <w:num w:numId="30">
    <w:abstractNumId w:val="5"/>
  </w:num>
  <w:num w:numId="31">
    <w:abstractNumId w:val="3"/>
  </w:num>
  <w:num w:numId="32">
    <w:abstractNumId w:val="25"/>
  </w:num>
  <w:num w:numId="33">
    <w:abstractNumId w:val="20"/>
  </w:num>
  <w:num w:numId="34">
    <w:abstractNumId w:val="37"/>
  </w:num>
  <w:num w:numId="35">
    <w:abstractNumId w:val="33"/>
  </w:num>
  <w:num w:numId="36">
    <w:abstractNumId w:val="14"/>
  </w:num>
  <w:num w:numId="37">
    <w:abstractNumId w:val="21"/>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85A"/>
    <w:rsid w:val="0000406A"/>
    <w:rsid w:val="00050DA8"/>
    <w:rsid w:val="00051944"/>
    <w:rsid w:val="000B7FC1"/>
    <w:rsid w:val="000C1691"/>
    <w:rsid w:val="00105B93"/>
    <w:rsid w:val="00106859"/>
    <w:rsid w:val="00132DF3"/>
    <w:rsid w:val="00134D1E"/>
    <w:rsid w:val="00137AB1"/>
    <w:rsid w:val="00141B0F"/>
    <w:rsid w:val="00154B31"/>
    <w:rsid w:val="001776E1"/>
    <w:rsid w:val="00181D20"/>
    <w:rsid w:val="00184895"/>
    <w:rsid w:val="001A14C1"/>
    <w:rsid w:val="001A70DF"/>
    <w:rsid w:val="001B68BF"/>
    <w:rsid w:val="001C3E95"/>
    <w:rsid w:val="001D6BB4"/>
    <w:rsid w:val="001E047F"/>
    <w:rsid w:val="001E2DE2"/>
    <w:rsid w:val="001E5A5A"/>
    <w:rsid w:val="001F1AE0"/>
    <w:rsid w:val="00205186"/>
    <w:rsid w:val="002203AD"/>
    <w:rsid w:val="002324A2"/>
    <w:rsid w:val="00235EE7"/>
    <w:rsid w:val="00242B72"/>
    <w:rsid w:val="00272C27"/>
    <w:rsid w:val="002866B7"/>
    <w:rsid w:val="002A764B"/>
    <w:rsid w:val="002B5320"/>
    <w:rsid w:val="002C55D7"/>
    <w:rsid w:val="002D50FB"/>
    <w:rsid w:val="003077C6"/>
    <w:rsid w:val="0031206E"/>
    <w:rsid w:val="003234FD"/>
    <w:rsid w:val="00347888"/>
    <w:rsid w:val="0036798D"/>
    <w:rsid w:val="00383BC1"/>
    <w:rsid w:val="0039710C"/>
    <w:rsid w:val="003B663B"/>
    <w:rsid w:val="003B6F62"/>
    <w:rsid w:val="003D13FC"/>
    <w:rsid w:val="003E4A35"/>
    <w:rsid w:val="00401399"/>
    <w:rsid w:val="00405CF5"/>
    <w:rsid w:val="00430C40"/>
    <w:rsid w:val="0043710B"/>
    <w:rsid w:val="00437B9F"/>
    <w:rsid w:val="00462834"/>
    <w:rsid w:val="004758A0"/>
    <w:rsid w:val="004A13D7"/>
    <w:rsid w:val="004A4FE3"/>
    <w:rsid w:val="004E7035"/>
    <w:rsid w:val="004F5F51"/>
    <w:rsid w:val="00534E44"/>
    <w:rsid w:val="00546AC1"/>
    <w:rsid w:val="005610EF"/>
    <w:rsid w:val="005748F3"/>
    <w:rsid w:val="00582E46"/>
    <w:rsid w:val="00594265"/>
    <w:rsid w:val="00597A44"/>
    <w:rsid w:val="005A4153"/>
    <w:rsid w:val="005A6AF0"/>
    <w:rsid w:val="005B3178"/>
    <w:rsid w:val="005B7D3F"/>
    <w:rsid w:val="005C31BF"/>
    <w:rsid w:val="00610895"/>
    <w:rsid w:val="00615082"/>
    <w:rsid w:val="00615DF6"/>
    <w:rsid w:val="00644A8A"/>
    <w:rsid w:val="006611B3"/>
    <w:rsid w:val="00676898"/>
    <w:rsid w:val="00685CE8"/>
    <w:rsid w:val="006C68A3"/>
    <w:rsid w:val="006D693B"/>
    <w:rsid w:val="006E67CB"/>
    <w:rsid w:val="006F0E57"/>
    <w:rsid w:val="006F4878"/>
    <w:rsid w:val="006F573F"/>
    <w:rsid w:val="0070159F"/>
    <w:rsid w:val="00702EAE"/>
    <w:rsid w:val="007079A3"/>
    <w:rsid w:val="00730A42"/>
    <w:rsid w:val="00732671"/>
    <w:rsid w:val="007350A2"/>
    <w:rsid w:val="00736235"/>
    <w:rsid w:val="0074772C"/>
    <w:rsid w:val="007615CA"/>
    <w:rsid w:val="00770243"/>
    <w:rsid w:val="00784509"/>
    <w:rsid w:val="007D3335"/>
    <w:rsid w:val="007E3182"/>
    <w:rsid w:val="007E4501"/>
    <w:rsid w:val="00834D52"/>
    <w:rsid w:val="00840927"/>
    <w:rsid w:val="00847703"/>
    <w:rsid w:val="00860C8E"/>
    <w:rsid w:val="0086256C"/>
    <w:rsid w:val="008762A2"/>
    <w:rsid w:val="00877731"/>
    <w:rsid w:val="008A54BC"/>
    <w:rsid w:val="008A670F"/>
    <w:rsid w:val="008B2E57"/>
    <w:rsid w:val="008B730A"/>
    <w:rsid w:val="008D2004"/>
    <w:rsid w:val="008E308B"/>
    <w:rsid w:val="008E7AD8"/>
    <w:rsid w:val="008F46EB"/>
    <w:rsid w:val="009307BE"/>
    <w:rsid w:val="009451D2"/>
    <w:rsid w:val="009646F2"/>
    <w:rsid w:val="00985A56"/>
    <w:rsid w:val="00990B36"/>
    <w:rsid w:val="009A660D"/>
    <w:rsid w:val="009B1816"/>
    <w:rsid w:val="009B1BA0"/>
    <w:rsid w:val="009E7092"/>
    <w:rsid w:val="009F1057"/>
    <w:rsid w:val="009F206D"/>
    <w:rsid w:val="00A02465"/>
    <w:rsid w:val="00A12104"/>
    <w:rsid w:val="00A25598"/>
    <w:rsid w:val="00A30F73"/>
    <w:rsid w:val="00A32C13"/>
    <w:rsid w:val="00A40942"/>
    <w:rsid w:val="00A65412"/>
    <w:rsid w:val="00AA4FB2"/>
    <w:rsid w:val="00AB112D"/>
    <w:rsid w:val="00AB3642"/>
    <w:rsid w:val="00AC69D1"/>
    <w:rsid w:val="00AE7C6C"/>
    <w:rsid w:val="00AF20DE"/>
    <w:rsid w:val="00AF3ABE"/>
    <w:rsid w:val="00B01D13"/>
    <w:rsid w:val="00B03F1C"/>
    <w:rsid w:val="00B10FF2"/>
    <w:rsid w:val="00B27174"/>
    <w:rsid w:val="00B45A33"/>
    <w:rsid w:val="00B63B78"/>
    <w:rsid w:val="00B84032"/>
    <w:rsid w:val="00BB1D5D"/>
    <w:rsid w:val="00BC592C"/>
    <w:rsid w:val="00BF10B7"/>
    <w:rsid w:val="00BF278B"/>
    <w:rsid w:val="00C0530C"/>
    <w:rsid w:val="00C07072"/>
    <w:rsid w:val="00C10E01"/>
    <w:rsid w:val="00C1732B"/>
    <w:rsid w:val="00C705C5"/>
    <w:rsid w:val="00CD09A4"/>
    <w:rsid w:val="00D02076"/>
    <w:rsid w:val="00D16406"/>
    <w:rsid w:val="00D2146A"/>
    <w:rsid w:val="00D24DB4"/>
    <w:rsid w:val="00D2692E"/>
    <w:rsid w:val="00D27C4B"/>
    <w:rsid w:val="00D417FC"/>
    <w:rsid w:val="00D473FE"/>
    <w:rsid w:val="00D507BD"/>
    <w:rsid w:val="00D5588F"/>
    <w:rsid w:val="00D80AE4"/>
    <w:rsid w:val="00D8236A"/>
    <w:rsid w:val="00D86D5F"/>
    <w:rsid w:val="00DC15EB"/>
    <w:rsid w:val="00DC79D6"/>
    <w:rsid w:val="00E04BEC"/>
    <w:rsid w:val="00E05047"/>
    <w:rsid w:val="00E07609"/>
    <w:rsid w:val="00E3457B"/>
    <w:rsid w:val="00E503CF"/>
    <w:rsid w:val="00E627AF"/>
    <w:rsid w:val="00E70A0F"/>
    <w:rsid w:val="00E713AF"/>
    <w:rsid w:val="00EB541F"/>
    <w:rsid w:val="00EC1F0A"/>
    <w:rsid w:val="00ED1463"/>
    <w:rsid w:val="00ED3902"/>
    <w:rsid w:val="00ED517D"/>
    <w:rsid w:val="00F02A09"/>
    <w:rsid w:val="00F24917"/>
    <w:rsid w:val="00F37CB3"/>
    <w:rsid w:val="00F40057"/>
    <w:rsid w:val="00F50585"/>
    <w:rsid w:val="00F62E3A"/>
    <w:rsid w:val="00F7185D"/>
    <w:rsid w:val="00F77AD7"/>
    <w:rsid w:val="00F9395F"/>
    <w:rsid w:val="00FA4562"/>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BE17597145F49B21158024A559345" ma:contentTypeVersion="11" ma:contentTypeDescription="Create a new document." ma:contentTypeScope="" ma:versionID="19dfab958770e3b7f63de255a1dcfe9f">
  <xsd:schema xmlns:xsd="http://www.w3.org/2001/XMLSchema" xmlns:xs="http://www.w3.org/2001/XMLSchema" xmlns:p="http://schemas.microsoft.com/office/2006/metadata/properties" xmlns:ns3="6b600aae-c5ae-4cf8-9b76-1b4cc3a272cb" xmlns:ns4="c0dbac92-719d-49a3-ab35-b3f7b04dda5f" targetNamespace="http://schemas.microsoft.com/office/2006/metadata/properties" ma:root="true" ma:fieldsID="213f15401434b245f9cdf351ae13c08d" ns3:_="" ns4:_="">
    <xsd:import namespace="6b600aae-c5ae-4cf8-9b76-1b4cc3a272cb"/>
    <xsd:import namespace="c0dbac92-719d-49a3-ab35-b3f7b04dd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00aae-c5ae-4cf8-9b76-1b4cc3a27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bac92-719d-49a3-ab35-b3f7b04dda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C30E-58A4-4F59-B37D-0783CD4DC436}">
  <ds:schemaRefs>
    <ds:schemaRef ds:uri="http://purl.org/dc/dcmitype/"/>
    <ds:schemaRef ds:uri="c0dbac92-719d-49a3-ab35-b3f7b04dda5f"/>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6b600aae-c5ae-4cf8-9b76-1b4cc3a272cb"/>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AA25C09-743B-414D-96D5-FFF746095311}">
  <ds:schemaRefs>
    <ds:schemaRef ds:uri="http://schemas.microsoft.com/sharepoint/v3/contenttype/forms"/>
  </ds:schemaRefs>
</ds:datastoreItem>
</file>

<file path=customXml/itemProps3.xml><?xml version="1.0" encoding="utf-8"?>
<ds:datastoreItem xmlns:ds="http://schemas.openxmlformats.org/officeDocument/2006/customXml" ds:itemID="{EE72ABDF-0F16-493D-BC47-ABF2E404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00aae-c5ae-4cf8-9b76-1b4cc3a272cb"/>
    <ds:schemaRef ds:uri="c0dbac92-719d-49a3-ab35-b3f7b04dd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41837-3FE4-4EAB-9A5B-011EF836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2</cp:revision>
  <dcterms:created xsi:type="dcterms:W3CDTF">2019-09-14T16:23:00Z</dcterms:created>
  <dcterms:modified xsi:type="dcterms:W3CDTF">2019-09-14T16:23:00Z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0x01010059ABE17597145F49B21158024A559345</vt:lpwstr>
  </property>
</Properties>
</file>