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3B" w:rsidRPr="00F41E31" w:rsidRDefault="00E6673B">
      <w:pPr>
        <w:tabs>
          <w:tab w:val="center" w:pos="4680"/>
        </w:tabs>
        <w:spacing w:after="120" w:line="264" w:lineRule="auto"/>
        <w:jc w:val="center"/>
        <w:rPr>
          <w:rFonts w:ascii="Book Antiqua" w:hAnsi="Book Antiqua"/>
          <w:b/>
          <w:sz w:val="28"/>
          <w:szCs w:val="28"/>
          <w:lang w:val="ru-RU"/>
        </w:rPr>
      </w:pPr>
      <w:r w:rsidRPr="00F41E31">
        <w:rPr>
          <w:rFonts w:ascii="Book Antiqua" w:hAnsi="Book Antiqua"/>
          <w:b/>
          <w:sz w:val="28"/>
          <w:szCs w:val="28"/>
          <w:lang w:val="ru-RU"/>
        </w:rPr>
        <w:t>МЕМОРАНДУМ О ВЗАИМОПОНИМАНИИ</w:t>
      </w:r>
    </w:p>
    <w:p w:rsidR="00E6673B" w:rsidRPr="00F41E31" w:rsidRDefault="00E6673B">
      <w:pPr>
        <w:spacing w:after="120"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между</w:t>
      </w:r>
    </w:p>
    <w:p w:rsidR="00E6673B" w:rsidRPr="00F41E31" w:rsidRDefault="00E6673B" w:rsidP="00DE0B5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color w:val="FF0000"/>
          <w:sz w:val="22"/>
          <w:szCs w:val="22"/>
          <w:lang w:val="ru-RU"/>
        </w:rPr>
      </w:pPr>
      <w:r w:rsidRPr="00F41E31">
        <w:rPr>
          <w:rFonts w:ascii="Book Antiqua" w:hAnsi="Book Antiqua"/>
          <w:b/>
          <w:caps/>
          <w:color w:val="FF0000"/>
          <w:sz w:val="22"/>
          <w:szCs w:val="22"/>
          <w:lang w:val="ru-RU"/>
        </w:rPr>
        <w:t>НАЦИОНАЛЬНЫМ СТАТИСТИЧЕСКИМ БЮРО</w:t>
      </w:r>
    </w:p>
    <w:p w:rsidR="00E6673B" w:rsidRPr="00F41E31" w:rsidRDefault="00E6673B" w:rsidP="00667835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:rsidR="00E6673B" w:rsidRPr="00F41E31" w:rsidRDefault="00E6673B" w:rsidP="00667835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и</w:t>
      </w:r>
    </w:p>
    <w:p w:rsidR="00E6673B" w:rsidRPr="00F41E31" w:rsidRDefault="00E6673B" w:rsidP="00667835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:rsidR="00E6673B" w:rsidRPr="00F41E31" w:rsidRDefault="00E6673B" w:rsidP="00DE0B5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color w:val="FF0000"/>
          <w:sz w:val="22"/>
          <w:szCs w:val="22"/>
          <w:lang w:val="ru-RU"/>
        </w:rPr>
      </w:pPr>
      <w:r w:rsidRPr="00F41E31">
        <w:rPr>
          <w:rFonts w:ascii="Book Antiqua" w:hAnsi="Book Antiqua"/>
          <w:b/>
          <w:color w:val="FF0000"/>
          <w:sz w:val="22"/>
          <w:szCs w:val="22"/>
          <w:lang w:val="ru-RU"/>
        </w:rPr>
        <w:t>СТРАНОВЫМ</w:t>
      </w: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 ПРЕДСТАВИТЕЛЬСТВОМ ЮНИСЕФ</w:t>
      </w:r>
    </w:p>
    <w:p w:rsidR="00E6673B" w:rsidRPr="00F41E31" w:rsidRDefault="00E6673B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</w:p>
    <w:p w:rsidR="00E6673B" w:rsidRPr="00F41E31" w:rsidRDefault="00E6673B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в целях реализации проекта </w:t>
      </w:r>
    </w:p>
    <w:p w:rsidR="00E6673B" w:rsidRPr="00F41E31" w:rsidRDefault="00E6673B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:rsidR="00E6673B" w:rsidRPr="00F41E31" w:rsidRDefault="00E6673B" w:rsidP="00374D2C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i/>
          <w:sz w:val="22"/>
          <w:szCs w:val="22"/>
          <w:lang w:val="ru-RU"/>
        </w:rPr>
      </w:pPr>
      <w:r w:rsidRPr="00F41E31">
        <w:rPr>
          <w:rFonts w:ascii="Book Antiqua" w:hAnsi="Book Antiqua"/>
          <w:b/>
          <w:i/>
          <w:sz w:val="22"/>
          <w:szCs w:val="22"/>
          <w:lang w:val="ru-RU"/>
        </w:rPr>
        <w:t>«</w:t>
      </w:r>
      <w:r w:rsidRPr="00F41E31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>Кластерное обследование по многим показателям (</w:t>
      </w:r>
      <w:r w:rsidR="00374D2C">
        <w:rPr>
          <w:rFonts w:ascii="Book Antiqua" w:hAnsi="Book Antiqua"/>
          <w:b/>
          <w:i/>
          <w:color w:val="FF0000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>) за</w:t>
      </w:r>
      <w:r w:rsidRPr="00F41E31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ab/>
        <w:t>год</w:t>
      </w:r>
      <w:r w:rsidRPr="00F41E31">
        <w:rPr>
          <w:rFonts w:ascii="Book Antiqua" w:hAnsi="Book Antiqua"/>
          <w:b/>
          <w:i/>
          <w:sz w:val="22"/>
          <w:szCs w:val="22"/>
          <w:lang w:val="ru-RU"/>
        </w:rPr>
        <w:t>»</w:t>
      </w:r>
    </w:p>
    <w:p w:rsidR="00E6673B" w:rsidRPr="00F41E31" w:rsidRDefault="00E6673B">
      <w:pPr>
        <w:spacing w:line="264" w:lineRule="auto"/>
        <w:jc w:val="center"/>
        <w:rPr>
          <w:rFonts w:ascii="Book Antiqua" w:hAnsi="Book Antiqua"/>
          <w:sz w:val="18"/>
          <w:szCs w:val="22"/>
          <w:lang w:val="ru-RU"/>
        </w:rPr>
      </w:pPr>
    </w:p>
    <w:p w:rsidR="00E6673B" w:rsidRPr="00F41E31" w:rsidRDefault="00E6673B">
      <w:pPr>
        <w:spacing w:line="264" w:lineRule="auto"/>
        <w:jc w:val="center"/>
        <w:rPr>
          <w:rFonts w:ascii="Book Antiqua" w:hAnsi="Book Antiqua"/>
          <w:sz w:val="18"/>
          <w:szCs w:val="22"/>
          <w:lang w:val="ru-RU"/>
        </w:rPr>
      </w:pPr>
    </w:p>
    <w:p w:rsidR="00E6673B" w:rsidRPr="00F41E31" w:rsidRDefault="00E6673B">
      <w:pPr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Преамбула</w:t>
      </w:r>
    </w:p>
    <w:p w:rsidR="00E6673B" w:rsidRPr="00F41E31" w:rsidRDefault="00E6673B">
      <w:pPr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:rsidR="00E6673B" w:rsidRPr="00F41E31" w:rsidRDefault="00E6673B" w:rsidP="00A6618D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Принимая во внимание, что </w:t>
      </w:r>
      <w:proofErr w:type="spellStart"/>
      <w:r w:rsidRPr="00F41E31">
        <w:rPr>
          <w:rFonts w:ascii="Book Antiqua" w:hAnsi="Book Antiqua"/>
          <w:bCs/>
          <w:color w:val="FF0000"/>
          <w:sz w:val="22"/>
          <w:szCs w:val="22"/>
          <w:lang w:val="ru-RU"/>
        </w:rPr>
        <w:t>страновое</w:t>
      </w:r>
      <w:proofErr w:type="spellEnd"/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представительство Детского Фонда ООН (далее именуемое ЮНИСЕФ) и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национальное статистическое бюро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(далее именуемое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Pr="00F41E31">
        <w:rPr>
          <w:rFonts w:ascii="Book Antiqua" w:hAnsi="Book Antiqua"/>
          <w:sz w:val="22"/>
          <w:szCs w:val="22"/>
          <w:lang w:val="ru-RU"/>
        </w:rPr>
        <w:t>) в свете их соответствующих мандатов преследуют общую цель, а именно мониторинг благополучия детей, подростков и женщин;</w:t>
      </w:r>
    </w:p>
    <w:p w:rsidR="00E6673B" w:rsidRPr="00F41E31" w:rsidRDefault="00E6673B">
      <w:pPr>
        <w:spacing w:line="264" w:lineRule="auto"/>
        <w:jc w:val="both"/>
        <w:rPr>
          <w:rFonts w:ascii="Book Antiqua" w:hAnsi="Book Antiqua"/>
          <w:sz w:val="20"/>
          <w:szCs w:val="22"/>
          <w:lang w:val="ru-RU"/>
        </w:rPr>
      </w:pPr>
    </w:p>
    <w:p w:rsidR="00E6673B" w:rsidRPr="00F41E31" w:rsidRDefault="00E6673B" w:rsidP="00297E05">
      <w:pPr>
        <w:spacing w:line="264" w:lineRule="auto"/>
        <w:ind w:firstLine="720"/>
        <w:jc w:val="both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принимая во внимание, что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страна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и ЮНИСЕФ в качестве главной инициативы в рамках Программы сотрудничества на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20XX – 20YY </w:t>
      </w:r>
      <w:r w:rsidRPr="00F41E31">
        <w:rPr>
          <w:rFonts w:ascii="Book Antiqua" w:hAnsi="Book Antiqua"/>
          <w:sz w:val="22"/>
          <w:szCs w:val="22"/>
          <w:lang w:val="ru-RU"/>
        </w:rPr>
        <w:t>годы определили выработк</w:t>
      </w:r>
      <w:r w:rsidR="00297E05">
        <w:rPr>
          <w:rFonts w:ascii="Book Antiqua" w:hAnsi="Book Antiqua"/>
          <w:sz w:val="22"/>
          <w:szCs w:val="22"/>
          <w:lang w:val="ru-RU"/>
        </w:rPr>
        <w:t>у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данных о показателях Целей в области устойчивого развития (ЦУР) и о выполнении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других национальных и международных обязательств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и, в частности, для отдельного мониторинга положения детей и женщин в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стране</w:t>
      </w:r>
      <w:r w:rsidRPr="00F41E31">
        <w:rPr>
          <w:rFonts w:ascii="Book Antiqua" w:hAnsi="Book Antiqua"/>
          <w:sz w:val="22"/>
          <w:szCs w:val="22"/>
          <w:lang w:val="ru-RU"/>
        </w:rPr>
        <w:t>;</w:t>
      </w:r>
    </w:p>
    <w:p w:rsidR="00E6673B" w:rsidRPr="00F41E31" w:rsidRDefault="00E6673B" w:rsidP="00667835">
      <w:pPr>
        <w:spacing w:line="264" w:lineRule="auto"/>
        <w:ind w:firstLine="720"/>
        <w:jc w:val="both"/>
        <w:rPr>
          <w:rFonts w:ascii="Book Antiqua" w:hAnsi="Book Antiqua"/>
          <w:b/>
          <w:sz w:val="22"/>
          <w:szCs w:val="22"/>
          <w:lang w:val="ru-RU"/>
        </w:rPr>
      </w:pPr>
    </w:p>
    <w:p w:rsidR="00E6673B" w:rsidRDefault="00E6673B" w:rsidP="00676CCD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принимая во внимание, что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страна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подписала</w:t>
      </w:r>
      <w:r w:rsidR="007713E5">
        <w:rPr>
          <w:rFonts w:ascii="Book Antiqua" w:hAnsi="Book Antiqua"/>
          <w:sz w:val="22"/>
          <w:szCs w:val="22"/>
          <w:lang w:val="ru-RU"/>
        </w:rPr>
        <w:t xml:space="preserve"> </w:t>
      </w:r>
      <w:r w:rsidR="00676CCD">
        <w:rPr>
          <w:rFonts w:ascii="Book Antiqua" w:hAnsi="Book Antiqua"/>
          <w:sz w:val="22"/>
          <w:szCs w:val="22"/>
          <w:lang w:val="ru-RU"/>
        </w:rPr>
        <w:t>Документ по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676CCD">
        <w:rPr>
          <w:rFonts w:ascii="Book Antiqua" w:hAnsi="Book Antiqua"/>
          <w:sz w:val="22"/>
          <w:szCs w:val="22"/>
          <w:lang w:val="ru-RU"/>
        </w:rPr>
        <w:t xml:space="preserve">(Общей)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Странов</w:t>
      </w:r>
      <w:r w:rsidR="00676CCD">
        <w:rPr>
          <w:rFonts w:ascii="Book Antiqua" w:hAnsi="Book Antiqua"/>
          <w:sz w:val="22"/>
          <w:szCs w:val="22"/>
          <w:lang w:val="ru-RU"/>
        </w:rPr>
        <w:t>ой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 программ</w:t>
      </w:r>
      <w:r w:rsidR="00676CCD">
        <w:rPr>
          <w:rFonts w:ascii="Book Antiqua" w:hAnsi="Book Antiqua"/>
          <w:sz w:val="22"/>
          <w:szCs w:val="22"/>
          <w:lang w:val="ru-RU"/>
        </w:rPr>
        <w:t xml:space="preserve">е / Основное соглашение о </w:t>
      </w:r>
      <w:r w:rsidRPr="00F41E31">
        <w:rPr>
          <w:rFonts w:ascii="Book Antiqua" w:hAnsi="Book Antiqua"/>
          <w:sz w:val="22"/>
          <w:szCs w:val="22"/>
          <w:lang w:val="ru-RU"/>
        </w:rPr>
        <w:t>сотрудничеств</w:t>
      </w:r>
      <w:r w:rsidR="00676CCD">
        <w:rPr>
          <w:rFonts w:ascii="Book Antiqua" w:hAnsi="Book Antiqua"/>
          <w:sz w:val="22"/>
          <w:szCs w:val="22"/>
          <w:lang w:val="ru-RU"/>
        </w:rPr>
        <w:t xml:space="preserve">е и </w:t>
      </w:r>
      <w:r w:rsidRPr="00F41E31">
        <w:rPr>
          <w:rFonts w:ascii="Book Antiqua" w:hAnsi="Book Antiqua"/>
          <w:sz w:val="22"/>
          <w:szCs w:val="22"/>
          <w:lang w:val="ru-RU"/>
        </w:rPr>
        <w:t>План действий по</w:t>
      </w:r>
      <w:r w:rsidR="00676CCD">
        <w:rPr>
          <w:rFonts w:ascii="Book Antiqua" w:hAnsi="Book Antiqua"/>
          <w:sz w:val="22"/>
          <w:szCs w:val="22"/>
          <w:lang w:val="ru-RU"/>
        </w:rPr>
        <w:t xml:space="preserve"> (Общей)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Страновой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 программе) с ЮНИСЕФ на период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20MM - 20NN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годов и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подписал Переходящий план работы с ЮНИСЕФ на период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20JJ - 20KK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годов;</w:t>
      </w:r>
    </w:p>
    <w:p w:rsidR="00676CCD" w:rsidRDefault="00676CCD" w:rsidP="00676CCD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</w:p>
    <w:p w:rsidR="00676CCD" w:rsidRPr="00676CCD" w:rsidRDefault="00676CCD" w:rsidP="00374D2C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b/>
          <w:sz w:val="22"/>
          <w:szCs w:val="22"/>
          <w:lang w:val="ru-RU"/>
        </w:rPr>
        <w:t>принимая</w:t>
      </w:r>
      <w:r w:rsidRPr="00676CCD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>
        <w:rPr>
          <w:rFonts w:ascii="Book Antiqua" w:hAnsi="Book Antiqua"/>
          <w:b/>
          <w:sz w:val="22"/>
          <w:szCs w:val="22"/>
          <w:lang w:val="ru-RU"/>
        </w:rPr>
        <w:t>во</w:t>
      </w:r>
      <w:r w:rsidRPr="00676CCD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>
        <w:rPr>
          <w:rFonts w:ascii="Book Antiqua" w:hAnsi="Book Antiqua"/>
          <w:b/>
          <w:sz w:val="22"/>
          <w:szCs w:val="22"/>
          <w:lang w:val="ru-RU"/>
        </w:rPr>
        <w:t>внимание</w:t>
      </w:r>
      <w:r w:rsidRPr="00676CCD">
        <w:rPr>
          <w:rFonts w:ascii="Book Antiqua" w:hAnsi="Book Antiqua"/>
          <w:b/>
          <w:sz w:val="22"/>
          <w:szCs w:val="22"/>
          <w:lang w:val="ru-RU"/>
        </w:rPr>
        <w:t>,</w:t>
      </w:r>
      <w:r w:rsidRPr="00676CCD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что</w:t>
      </w:r>
      <w:r w:rsidRPr="00676CCD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Pr="00676CCD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и</w:t>
      </w:r>
      <w:r w:rsidRPr="00676CCD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ЮНИСЕФ</w:t>
      </w:r>
      <w:r w:rsidRPr="00676CCD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определили условия взаимного сотрудничества для проведения Кластерного обследования по многим показателям (здесь и далее –</w:t>
      </w:r>
      <w:r w:rsidR="00374D2C">
        <w:rPr>
          <w:rFonts w:ascii="Book Antiqua" w:hAnsi="Book Antiqua"/>
          <w:sz w:val="22"/>
          <w:szCs w:val="22"/>
          <w:lang w:val="hr-HR"/>
        </w:rPr>
        <w:t xml:space="preserve"> MICS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) в соответствии с соглашением, подписанным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дата</w:t>
      </w:r>
      <w:r>
        <w:rPr>
          <w:rFonts w:ascii="Book Antiqua" w:hAnsi="Book Antiqua"/>
          <w:sz w:val="22"/>
          <w:szCs w:val="22"/>
          <w:lang w:val="ru-RU"/>
        </w:rPr>
        <w:t>;</w:t>
      </w:r>
    </w:p>
    <w:p w:rsidR="00E6673B" w:rsidRPr="00676CCD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70758B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bCs/>
          <w:sz w:val="22"/>
          <w:szCs w:val="22"/>
          <w:lang w:val="ru-RU"/>
        </w:rPr>
        <w:t>в связи с вышеизложенным</w:t>
      </w: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и на основе взаимного доверия и в духе сотрудничества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НСБ </w:t>
      </w:r>
      <w:r w:rsidRPr="00F41E31">
        <w:rPr>
          <w:rFonts w:ascii="Book Antiqua" w:hAnsi="Book Antiqua"/>
          <w:sz w:val="22"/>
          <w:szCs w:val="22"/>
          <w:lang w:val="ru-RU"/>
        </w:rPr>
        <w:t>и ЮНИСЕФ настоящим договорились о нижеследующем:</w:t>
      </w:r>
    </w:p>
    <w:p w:rsidR="00E6673B" w:rsidRPr="00F41E31" w:rsidRDefault="00E6673B" w:rsidP="00F31229">
      <w:pPr>
        <w:spacing w:line="264" w:lineRule="auto"/>
        <w:jc w:val="both"/>
        <w:rPr>
          <w:rFonts w:ascii="Book Antiqua" w:hAnsi="Book Antiqua"/>
          <w:sz w:val="20"/>
          <w:szCs w:val="22"/>
          <w:lang w:val="ru-RU"/>
        </w:rPr>
      </w:pPr>
    </w:p>
    <w:p w:rsidR="00E6673B" w:rsidRPr="00F41E31" w:rsidRDefault="00E6673B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b/>
          <w:sz w:val="22"/>
          <w:szCs w:val="22"/>
          <w:lang w:val="ru-RU"/>
        </w:rPr>
        <w:t>Статья I. Определения</w:t>
      </w:r>
    </w:p>
    <w:p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604AD0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В рамках настоящего Соглашения будут применяться следующие определения:</w:t>
      </w:r>
    </w:p>
    <w:p w:rsidR="00E6673B" w:rsidRPr="00F41E31" w:rsidRDefault="00E6673B" w:rsidP="00604AD0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A6618D">
      <w:pPr>
        <w:pStyle w:val="1"/>
        <w:numPr>
          <w:ilvl w:val="0"/>
          <w:numId w:val="3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  <w:t xml:space="preserve">«Стороны» –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и ЮНИСЕФ.</w:t>
      </w:r>
    </w:p>
    <w:p w:rsidR="00E6673B" w:rsidRPr="00F41E31" w:rsidRDefault="00E6673B" w:rsidP="000A77A9">
      <w:pPr>
        <w:pStyle w:val="1"/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lastRenderedPageBreak/>
        <w:tab/>
      </w:r>
    </w:p>
    <w:p w:rsidR="00E6673B" w:rsidRPr="00F41E31" w:rsidRDefault="007713E5" w:rsidP="00A6618D">
      <w:pPr>
        <w:pStyle w:val="1"/>
        <w:numPr>
          <w:ilvl w:val="0"/>
          <w:numId w:val="3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 xml:space="preserve">«ЮНИСЕФ» – </w:t>
      </w:r>
      <w:proofErr w:type="spellStart"/>
      <w:r w:rsidR="00E6673B" w:rsidRPr="00F41E31">
        <w:rPr>
          <w:rFonts w:ascii="Book Antiqua" w:hAnsi="Book Antiqua"/>
          <w:color w:val="FF0000"/>
          <w:sz w:val="22"/>
          <w:szCs w:val="22"/>
          <w:lang w:val="ru-RU"/>
        </w:rPr>
        <w:t>страновое</w:t>
      </w:r>
      <w:proofErr w:type="spellEnd"/>
      <w:r w:rsidR="00E6673B" w:rsidRPr="00F41E31">
        <w:rPr>
          <w:rFonts w:ascii="Book Antiqua" w:hAnsi="Book Antiqua"/>
          <w:sz w:val="22"/>
          <w:szCs w:val="22"/>
          <w:lang w:val="ru-RU"/>
        </w:rPr>
        <w:t xml:space="preserve"> представительство Детского фонда ООН, дочернее ведомство ООН, которое учреждено Резолюцией 57 (I), принятой Генеральной Ассамблеей ООН 11 декабря 1946 года.</w:t>
      </w:r>
    </w:p>
    <w:p w:rsidR="00E6673B" w:rsidRPr="00F41E31" w:rsidRDefault="00E6673B" w:rsidP="000A77A9">
      <w:pPr>
        <w:pStyle w:val="1"/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374D2C">
      <w:pPr>
        <w:pStyle w:val="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  <w:t>«Данное Соглашение» или «настоящее Соглашение» – настоящий Меморандум о взаимопонимании и его приложение о Техническом сотрудничестве для реализации проекта, озаглавленного «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Кластерное обследование по многим показателям (</w:t>
      </w:r>
      <w:r w:rsidR="00374D2C">
        <w:rPr>
          <w:rFonts w:ascii="Book Antiqua" w:hAnsi="Book Antiqua"/>
          <w:color w:val="FF0000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) за 20XX год</w:t>
      </w:r>
      <w:r w:rsidRPr="00F41E31">
        <w:rPr>
          <w:rFonts w:ascii="Book Antiqua" w:hAnsi="Book Antiqua"/>
          <w:sz w:val="22"/>
          <w:szCs w:val="22"/>
          <w:lang w:val="ru-RU"/>
        </w:rPr>
        <w:t>».</w:t>
      </w:r>
    </w:p>
    <w:p w:rsidR="00E6673B" w:rsidRPr="00F41E31" w:rsidRDefault="00E6673B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A6618D">
      <w:pPr>
        <w:pStyle w:val="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  <w:t>«План и Бюджет обследования» – оперативный план реализации настоящего Соглашения, который Стороны согласились совместно разработать.</w:t>
      </w:r>
    </w:p>
    <w:p w:rsidR="00E6673B" w:rsidRPr="00F41E31" w:rsidRDefault="00E6673B" w:rsidP="00204B68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A6618D">
      <w:pPr>
        <w:pStyle w:val="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  <w:t>«Проект» – все составляющие его документы, процессы и оборудование.</w:t>
      </w:r>
    </w:p>
    <w:p w:rsidR="00E6673B" w:rsidRPr="00F41E31" w:rsidRDefault="00E6673B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132FF2">
      <w:pPr>
        <w:pStyle w:val="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  <w:t>«Представитель ЮНИСЕФ» – представитель ЮНИСЕФ в стране или его представитель.</w:t>
      </w:r>
    </w:p>
    <w:p w:rsidR="00E6673B" w:rsidRPr="00F41E31" w:rsidRDefault="00E6673B" w:rsidP="00A76568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132FF2">
      <w:pPr>
        <w:pStyle w:val="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  <w:t xml:space="preserve">«Расходы» – все выплаты и </w:t>
      </w:r>
      <w:r w:rsidR="00132FF2">
        <w:rPr>
          <w:rFonts w:ascii="Book Antiqua" w:hAnsi="Book Antiqua"/>
          <w:sz w:val="22"/>
          <w:szCs w:val="22"/>
          <w:lang w:val="ru-RU"/>
        </w:rPr>
        <w:t>все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обязательства,</w:t>
      </w:r>
      <w:r w:rsidR="00132FF2">
        <w:rPr>
          <w:rFonts w:ascii="Book Antiqua" w:hAnsi="Book Antiqua"/>
          <w:sz w:val="22"/>
          <w:szCs w:val="22"/>
          <w:lang w:val="ru-RU"/>
        </w:rPr>
        <w:t xml:space="preserve"> связанные с реализацией </w:t>
      </w:r>
      <w:r w:rsidRPr="00F41E31">
        <w:rPr>
          <w:rFonts w:ascii="Book Antiqua" w:hAnsi="Book Antiqua"/>
          <w:sz w:val="22"/>
          <w:szCs w:val="22"/>
          <w:lang w:val="ru-RU"/>
        </w:rPr>
        <w:t>Проекта.</w:t>
      </w:r>
    </w:p>
    <w:p w:rsidR="00E6673B" w:rsidRPr="00F41E31" w:rsidRDefault="00E6673B" w:rsidP="00A76568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CB6ED0">
      <w:pPr>
        <w:pStyle w:val="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  <w:t>«Обстоятельства непреодолимой силы» – стихийное бедствие, война (объявленная или необъявленная), вторжение, революция, восстание или любое другое равнозначное по характеру или по силе событие.</w:t>
      </w:r>
    </w:p>
    <w:p w:rsidR="00E6673B" w:rsidRPr="00F41E31" w:rsidRDefault="00E6673B" w:rsidP="00A03D46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374D2C">
      <w:pPr>
        <w:pStyle w:val="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  <w:t xml:space="preserve">«Группа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ЮНИСЕФ» – сотрудники и консультанты ЮНИСЕФ в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страновом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, региональном представительствах и в штаб-квартире в Нью-Йорке, занятые координацией, управлением и оказанием технической помощи для проведения обследований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в рамках Глобальной программы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E6673B" w:rsidRPr="00F41E31" w:rsidRDefault="00E6673B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b/>
          <w:sz w:val="22"/>
          <w:szCs w:val="22"/>
          <w:lang w:val="ru-RU"/>
        </w:rPr>
        <w:t>Статья II. Цель и предмет настоящего Соглашения</w:t>
      </w:r>
    </w:p>
    <w:p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DB58EC" w:rsidP="00DB58EC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sz w:val="22"/>
          <w:szCs w:val="22"/>
          <w:lang w:val="ru-RU"/>
        </w:rPr>
        <w:t>В нас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тояще</w:t>
      </w:r>
      <w:r>
        <w:rPr>
          <w:rFonts w:ascii="Book Antiqua" w:hAnsi="Book Antiqua"/>
          <w:sz w:val="22"/>
          <w:szCs w:val="22"/>
          <w:lang w:val="ru-RU"/>
        </w:rPr>
        <w:t>м</w:t>
      </w:r>
      <w:r w:rsidR="00E6673B" w:rsidRPr="00F41E31">
        <w:rPr>
          <w:rFonts w:ascii="Book Antiqua" w:hAnsi="Book Antiqua"/>
          <w:sz w:val="22"/>
          <w:szCs w:val="22"/>
          <w:lang w:val="ru-RU"/>
        </w:rPr>
        <w:t xml:space="preserve"> Соглашени</w:t>
      </w:r>
      <w:r>
        <w:rPr>
          <w:rFonts w:ascii="Book Antiqua" w:hAnsi="Book Antiqua"/>
          <w:sz w:val="22"/>
          <w:szCs w:val="22"/>
          <w:lang w:val="ru-RU"/>
        </w:rPr>
        <w:t xml:space="preserve">и изложены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условия,</w:t>
      </w:r>
      <w:r>
        <w:rPr>
          <w:rFonts w:ascii="Book Antiqua" w:hAnsi="Book Antiqua"/>
          <w:sz w:val="22"/>
          <w:szCs w:val="22"/>
          <w:lang w:val="ru-RU"/>
        </w:rPr>
        <w:t xml:space="preserve"> положения и процедуры, регулирующие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сотрудничество Сторон в отношении реализации целей Проекта.</w:t>
      </w:r>
    </w:p>
    <w:p w:rsidR="00E6673B" w:rsidRPr="00F41E31" w:rsidRDefault="00E6673B" w:rsidP="00D06F00">
      <w:pPr>
        <w:tabs>
          <w:tab w:val="left" w:pos="36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374D2C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Стороны соглашаются сотрудничать и поддерживать тесные рабочие отношения для достижения целей Проекта и разработки технических и оперативных деталей реализации Проекта в Плане и Бюджете обследования в соответствии с общими рекомендациями Глобальной программы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>, в том числе реализовывать Техническое сотрудничество, описанное в приложении.</w:t>
      </w:r>
    </w:p>
    <w:p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374D2C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В любое время в ходе обследования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НСБ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и Группа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ЮНИСЕФ будут с целью технической проверки и обеспечения качества иметь доступ ко всем документам обследования, в том числе к планам выборки, программам для обработки данных, </w:t>
      </w:r>
      <w:r w:rsidRPr="00F41E31">
        <w:rPr>
          <w:rFonts w:ascii="Book Antiqua" w:hAnsi="Book Antiqua"/>
          <w:sz w:val="22"/>
          <w:szCs w:val="22"/>
          <w:lang w:val="ru-RU"/>
        </w:rPr>
        <w:lastRenderedPageBreak/>
        <w:t xml:space="preserve">файлам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>, таблицам для проверки на местах, программам для составления таблиц, а также ко всем другим техническим документам.</w:t>
      </w:r>
    </w:p>
    <w:p w:rsidR="00E6673B" w:rsidRPr="00F41E31" w:rsidRDefault="00E6673B" w:rsidP="00456908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374D2C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НСБ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и Группа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ЮНИСЕФ будут иметь доступ к предварительным испытаниям вопросника и приложения для ввода данных, работам на местах, обработке данных и относящемуся к ним обучению с целью проведения мероприятий по обеспечению качества и мониторингу.</w:t>
      </w:r>
    </w:p>
    <w:p w:rsidR="00E6673B" w:rsidRPr="00F41E31" w:rsidRDefault="00E6673B" w:rsidP="009B07E2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374D2C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До публичного распространения результатов и обезличивания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 ни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НСБ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, ни Группа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ЮНИСЕФ ни при каких обстоятельствах не будут предоставлять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микроданные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 ни полностью, ни частично никакому физическому или юридическому лицу, кроме своих членов.</w:t>
      </w:r>
    </w:p>
    <w:p w:rsidR="00E6673B" w:rsidRPr="00F41E31" w:rsidRDefault="00E6673B" w:rsidP="00D81653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374D2C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Стороны соглашаются приложить все усилия, чтобы выпустить Отчет о результатах обследования, в том числе все методические сведения, таблицы и приложения, в срок, не превышающий 6 месяцев после завершения работ на местах. Если в какое-либо время возникнут опасения, что время выполнения процесса превысит установленный срок, то Группа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ЮНИСЕФ, действуя в духе сотрудничества, усилит техническую поддержку и после консультаций с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разработает Отчет о результатах обследования и предоставит его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E6673B" w:rsidRPr="00F41E31" w:rsidRDefault="00E6673B" w:rsidP="006C1D92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9F145D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По мере доработки Отчета о результатах обследования файлы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 в формате SPSS будут обезличиваться в соответствии с международными стандартами, так что никакая информация, которая позволила бы установить конкретного (-ых) человека (людей), опрошенные домохозяйства или местоположения кластеров, разглашаться не будет. Никакая личная информация, касающаяся того или иного человека или домохозяйства, не будет подлежать распространению. Данный процесс отвечает требованиям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странового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 законодательства.</w:t>
      </w:r>
    </w:p>
    <w:p w:rsidR="00E6673B" w:rsidRPr="00F41E31" w:rsidRDefault="00E6673B" w:rsidP="006433E7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D02EC7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В течение одного месяца после выхода Отчета о результатах обследования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микроданные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 в формате SPSS поступят в общий доступ. Стороны будут обладать равными правами на распространение файлов окончательных обезличенных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 в формате SPSS.</w:t>
      </w:r>
    </w:p>
    <w:p w:rsidR="00E6673B" w:rsidRPr="00F41E31" w:rsidRDefault="00E6673B" w:rsidP="00761840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374D2C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ЮНИСЕФ будет распространять файлы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 через всемирный сайт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(mics.unicef.org), который поддерживается ЮНИСЕФ, для законного статистического анализа по запросу зарегистрированных пользователей.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Микроданные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 будут выдаваться при условии согласия получателя конкретно отметить вклад, сделанный НСБ в проведение обследования и сбор данных, и предоставить НСБ и ЮНИСЕФ копию любого отчета/анализа, созданного с использованием этих данных. Получателям не разрешается распространять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микроданные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 и размещать их ни на какой другой общедоступной платформе.</w:t>
      </w:r>
    </w:p>
    <w:p w:rsidR="00E6673B" w:rsidRPr="00F41E31" w:rsidRDefault="00E6673B" w:rsidP="00761840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CB6ED0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lastRenderedPageBreak/>
        <w:t xml:space="preserve">Стороны соглашаются, что до внесения любых изменений в распространяемые наборы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 они будут совещаться друг с другом и согласовывать изменения, которые сочтут технически необходимыми. Стороны будут прикладывать все усилия к тому, чтоб доводить все изменения, внесенные на соответствующий момент, до сведения получателей файлов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E6673B" w:rsidRPr="00F41E31" w:rsidRDefault="00E6673B" w:rsidP="00FC66E7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374D2C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Стороны соглашаются стимулировать и выполнять мероприятия по распространению данных, способствующие использованию результатов обследования и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. В этих целях ЮНИСЕФ может перекодировать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микроданные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, с тем чтобы создать единообразный набор данных всех обследований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и использовать его на размещенных на сайте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межнациональных платформах, предназначенных для создания таблиц онлайн. Такой набор данных не будет находиться в общем доступе.</w:t>
      </w:r>
    </w:p>
    <w:p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Статья III. Срок действия Соглашения </w:t>
      </w:r>
    </w:p>
    <w:p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DB58EC">
      <w:pPr>
        <w:pStyle w:val="1"/>
        <w:numPr>
          <w:ilvl w:val="0"/>
          <w:numId w:val="19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Настоящее Соглашение вступает в силу</w:t>
      </w:r>
      <w:r w:rsidR="00DB58EC">
        <w:rPr>
          <w:rFonts w:ascii="Book Antiqua" w:hAnsi="Book Antiqua"/>
          <w:sz w:val="22"/>
          <w:szCs w:val="22"/>
          <w:lang w:val="ru-RU"/>
        </w:rPr>
        <w:t xml:space="preserve"> в день его подписания всеми Сторонами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и действует до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даты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. Проект начнется и завершится в соответствии с </w:t>
      </w:r>
      <w:r w:rsidR="00DB58EC">
        <w:rPr>
          <w:rFonts w:ascii="Book Antiqua" w:hAnsi="Book Antiqua"/>
          <w:sz w:val="22"/>
          <w:szCs w:val="22"/>
          <w:lang w:val="ru-RU"/>
        </w:rPr>
        <w:t>графиком</w:t>
      </w:r>
      <w:r w:rsidRPr="00F41E31">
        <w:rPr>
          <w:rFonts w:ascii="Book Antiqua" w:hAnsi="Book Antiqua"/>
          <w:sz w:val="22"/>
          <w:szCs w:val="22"/>
          <w:lang w:val="ru-RU"/>
        </w:rPr>
        <w:t>, предусмотренн</w:t>
      </w:r>
      <w:r w:rsidR="00DB58EC">
        <w:rPr>
          <w:rFonts w:ascii="Book Antiqua" w:hAnsi="Book Antiqua"/>
          <w:sz w:val="22"/>
          <w:szCs w:val="22"/>
          <w:lang w:val="ru-RU"/>
        </w:rPr>
        <w:t>ым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в Плане и Бюджете обследования, которые могут актуализироваться в ходе реализации Проекта.</w:t>
      </w:r>
    </w:p>
    <w:p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DB58EC">
      <w:pPr>
        <w:pStyle w:val="1"/>
        <w:numPr>
          <w:ilvl w:val="0"/>
          <w:numId w:val="19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Если в ходе реализации Проекта одна из Сторон принимает решение продлить срок, указанный в </w:t>
      </w:r>
      <w:r w:rsidR="00DB58EC">
        <w:rPr>
          <w:rFonts w:ascii="Book Antiqua" w:hAnsi="Book Antiqua"/>
          <w:sz w:val="22"/>
          <w:szCs w:val="22"/>
          <w:lang w:val="ru-RU"/>
        </w:rPr>
        <w:t xml:space="preserve">Статье </w:t>
      </w:r>
      <w:r w:rsidR="00DB58EC">
        <w:rPr>
          <w:rFonts w:ascii="Book Antiqua" w:hAnsi="Book Antiqua"/>
          <w:sz w:val="22"/>
          <w:szCs w:val="22"/>
        </w:rPr>
        <w:t>III</w:t>
      </w:r>
      <w:r w:rsidR="00DB58EC" w:rsidRPr="00DB58EC">
        <w:rPr>
          <w:rFonts w:ascii="Book Antiqua" w:hAnsi="Book Antiqua"/>
          <w:sz w:val="22"/>
          <w:szCs w:val="22"/>
          <w:lang w:val="ru-RU"/>
        </w:rPr>
        <w:t xml:space="preserve"> (</w:t>
      </w:r>
      <w:r w:rsidRPr="00F41E31">
        <w:rPr>
          <w:rFonts w:ascii="Book Antiqua" w:hAnsi="Book Antiqua"/>
          <w:sz w:val="22"/>
          <w:szCs w:val="22"/>
          <w:lang w:val="ru-RU"/>
        </w:rPr>
        <w:t>1</w:t>
      </w:r>
      <w:r w:rsidR="00DB58EC" w:rsidRPr="00DB58EC">
        <w:rPr>
          <w:rFonts w:ascii="Book Antiqua" w:hAnsi="Book Antiqua"/>
          <w:sz w:val="22"/>
          <w:szCs w:val="22"/>
          <w:lang w:val="ru-RU"/>
        </w:rPr>
        <w:t>)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выше, для достижения целей Проекта, то эта Сторона должна незамедлительно проинформировать другую, чтобы провести переговоры и прийти к согласию о новой дате завершения проекта. После согласования новой даты Стороны подписывают соответствующую поправку согласно Статье XII.</w:t>
      </w:r>
    </w:p>
    <w:p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F96423">
      <w:pPr>
        <w:pStyle w:val="Heading2"/>
        <w:spacing w:line="264" w:lineRule="auto"/>
        <w:rPr>
          <w:rFonts w:ascii="Book Antiqua" w:hAnsi="Book Antiqua"/>
          <w:sz w:val="22"/>
          <w:szCs w:val="22"/>
          <w:lang w:val="ru-RU" w:eastAsia="x-none"/>
        </w:rPr>
      </w:pPr>
      <w:r w:rsidRPr="00F41E31">
        <w:rPr>
          <w:rFonts w:ascii="Book Antiqua" w:hAnsi="Book Antiqua"/>
          <w:sz w:val="22"/>
          <w:szCs w:val="22"/>
          <w:lang w:val="ru-RU" w:eastAsia="x-none"/>
        </w:rPr>
        <w:t>Статья IV. О</w:t>
      </w:r>
      <w:r w:rsidR="00F96423">
        <w:rPr>
          <w:rFonts w:ascii="Book Antiqua" w:hAnsi="Book Antiqua"/>
          <w:sz w:val="22"/>
          <w:szCs w:val="22"/>
          <w:lang w:val="ru-RU" w:eastAsia="x-none"/>
        </w:rPr>
        <w:t>бщие и конкретные о</w:t>
      </w:r>
      <w:r w:rsidRPr="00F41E31">
        <w:rPr>
          <w:rFonts w:ascii="Book Antiqua" w:hAnsi="Book Antiqua"/>
          <w:sz w:val="22"/>
          <w:szCs w:val="22"/>
          <w:lang w:val="ru-RU" w:eastAsia="x-none"/>
        </w:rPr>
        <w:t>бязанности, обязательные для исполнения Сторонами</w:t>
      </w:r>
    </w:p>
    <w:p w:rsidR="00E6673B" w:rsidRPr="00F41E31" w:rsidRDefault="00E6673B">
      <w:pPr>
        <w:rPr>
          <w:lang w:val="ru-RU"/>
        </w:rPr>
      </w:pPr>
    </w:p>
    <w:p w:rsidR="00E6673B" w:rsidRPr="00F41E31" w:rsidRDefault="00E6673B" w:rsidP="00CB6ED0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Стороны соглашаются выполнять свои конкретные обязанности в соответствии с положениями настоящего Соглашения.</w:t>
      </w:r>
    </w:p>
    <w:p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374D2C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НСБ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соглашается предоставить для реализации Проекта технический и административный персонал, который будет проводить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и руководить этим обследованием в соответствии с требованиями и профессиональной квалификацией, указанными в Проекте</w:t>
      </w:r>
      <w:r w:rsidR="00F96423">
        <w:rPr>
          <w:rFonts w:ascii="Book Antiqua" w:hAnsi="Book Antiqua"/>
          <w:sz w:val="22"/>
          <w:szCs w:val="22"/>
          <w:lang w:val="ru-RU"/>
        </w:rPr>
        <w:t>, в частности, в Плане и Бюджете обследования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0B3706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Стороны берут на себя ответственность за реализацию Проекта, надзор и контроль за его реализацией. Это подразумевает, что персонал, выделенный для Проекта, не </w:t>
      </w:r>
      <w:r w:rsidRPr="00F41E31">
        <w:rPr>
          <w:rFonts w:ascii="Book Antiqua" w:hAnsi="Book Antiqua"/>
          <w:sz w:val="22"/>
          <w:szCs w:val="22"/>
          <w:lang w:val="ru-RU"/>
        </w:rPr>
        <w:lastRenderedPageBreak/>
        <w:t>может выполнять мероприятия, не предусмотренные в Плане и Бюджете обследования.</w:t>
      </w:r>
    </w:p>
    <w:p w:rsidR="00E6673B" w:rsidRPr="00F41E31" w:rsidRDefault="00E6673B" w:rsidP="00472D97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374D2C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НСБ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соглашается предоставить для реализации Проекта физические объекты (обеспечить материальную часть), необходимые для надлежащего проведения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E6673B" w:rsidRPr="00F41E31" w:rsidRDefault="00E6673B" w:rsidP="00472D97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0B3706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Стороны соглашаются финансировать покрытие и изыскивать финансовые средства для покрытия операционных издержек (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транспортных, командировочных расходов, стоимости расходных материалов, людских ресурсов и т. п.</w:t>
      </w:r>
      <w:r w:rsidRPr="00F41E31">
        <w:rPr>
          <w:rFonts w:ascii="Book Antiqua" w:hAnsi="Book Antiqua"/>
          <w:sz w:val="22"/>
          <w:szCs w:val="22"/>
          <w:lang w:val="ru-RU"/>
        </w:rPr>
        <w:t>), необходимых для удовлетворительного выполнения Проекта, в соответстви</w:t>
      </w:r>
      <w:r w:rsidR="007713E5">
        <w:rPr>
          <w:rFonts w:ascii="Book Antiqua" w:hAnsi="Book Antiqua"/>
          <w:sz w:val="22"/>
          <w:szCs w:val="22"/>
          <w:lang w:val="ru-RU"/>
        </w:rPr>
        <w:t xml:space="preserve">и с ограничениями и в пределах </w:t>
      </w:r>
      <w:r w:rsidRPr="00F41E31">
        <w:rPr>
          <w:rFonts w:ascii="Book Antiqua" w:hAnsi="Book Antiqua"/>
          <w:sz w:val="22"/>
          <w:szCs w:val="22"/>
          <w:lang w:val="ru-RU"/>
        </w:rPr>
        <w:t>ограничений, которые будут указаны в Плане и Бюджете обследования.</w:t>
      </w:r>
    </w:p>
    <w:p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0B3706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Стороны будут сотрудничать друг с другом для организации получения и для фактического получения всех лицензий и разрешений, требуемых национальным законодательством, при условии, что такие лицензии и разрешения являются подходящими и необходимыми для достижения целей Проекта.</w:t>
      </w:r>
    </w:p>
    <w:p w:rsidR="00E6673B" w:rsidRPr="00F41E31" w:rsidRDefault="00E6673B" w:rsidP="00FC66E7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0B3706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Обе Стороны должны прикладывать максимальные усилия к осмыслению этических соображений и к минимизации возможных отрицательных последствий их применения, а также к внедрению механизмов защиты членов участвующих домохозяйств, заинтересованных лиц и Сторон по итогам реализации Проекта.</w:t>
      </w:r>
    </w:p>
    <w:p w:rsidR="00E6673B" w:rsidRPr="00F41E31" w:rsidRDefault="00E6673B" w:rsidP="00F83FD5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D22C80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соглашается, что никакие лица, участвующие в обследовании домохозяйств или проводящие его, не должны преследоваться за вопросы, заданные и ответы, выданные в рамках обследования. </w:t>
      </w:r>
    </w:p>
    <w:p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D22C80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Обе Стороны должны назначить координаторов, которые будут выступать в качестве основного канала связи между Сторонами по всем вопросам, касающимся Проекта.</w:t>
      </w:r>
    </w:p>
    <w:p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4F56D3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Обе Стороны будут полноправными членами Руководящего и Технического комитетов, созданных для надзора за ходом реализации Проекта. Эти комитеты не могут принимать решения, полностью или частично меняющие данное Соглашение.</w:t>
      </w:r>
    </w:p>
    <w:p w:rsidR="00E6673B" w:rsidRPr="00F41E31" w:rsidRDefault="00E6673B">
      <w:pPr>
        <w:pStyle w:val="1"/>
        <w:spacing w:line="264" w:lineRule="auto"/>
        <w:rPr>
          <w:rFonts w:ascii="Book Antiqua" w:hAnsi="Book Antiqua" w:cs="Arial"/>
          <w:sz w:val="22"/>
          <w:lang w:val="ru-RU"/>
        </w:rPr>
      </w:pPr>
    </w:p>
    <w:p w:rsidR="00E6673B" w:rsidRPr="00F41E31" w:rsidRDefault="00E6673B" w:rsidP="00374D2C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Техническая помощь будет оказываться Группой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ЮНИСЕФ в ходе всего Проекта. Постоянная техническая помощь Проекту будет оказываться путем посещений </w:t>
      </w:r>
      <w:r w:rsidRPr="00F41E31">
        <w:rPr>
          <w:rFonts w:ascii="Book Antiqua" w:hAnsi="Book Antiqua" w:cs="Arial"/>
          <w:color w:val="FF0000"/>
          <w:sz w:val="22"/>
          <w:lang w:val="ru-RU" w:bidi="th-TH"/>
        </w:rPr>
        <w:t>страны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, внешней поддержки со стороны региональных консультантов ЮНИСЕФ по трем основным направлениям: создание выборки, обработка данных и проведение обследования домохозяйств, а также поддержки со стороны Глобальной группы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через региональное представительство и штаб-квартиру ЮНИСЕФ. Стороны соглашаются содействовать оказанию такой технической </w:t>
      </w:r>
      <w:r w:rsidRPr="00F41E31">
        <w:rPr>
          <w:rFonts w:ascii="Book Antiqua" w:hAnsi="Book Antiqua"/>
          <w:sz w:val="22"/>
          <w:szCs w:val="22"/>
          <w:lang w:val="ru-RU"/>
        </w:rPr>
        <w:lastRenderedPageBreak/>
        <w:t xml:space="preserve">помощи и достижению ее целей, изложенных в Рамочной программе технического содействия Глобальной программы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(прилагается).</w:t>
      </w:r>
    </w:p>
    <w:p w:rsidR="00E6673B" w:rsidRPr="00F41E31" w:rsidRDefault="00E6673B" w:rsidP="00C9734A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374D2C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Группа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="00374D2C" w:rsidRPr="00F41E31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ЮНИСЕФ должна оказывать дополнительную техническую помощь Проекту путем проведения трех семинаров по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>, в которых должны принять участие соответствующие сотрудники Проекта с обеих сторон:</w:t>
      </w:r>
    </w:p>
    <w:p w:rsidR="00E6673B" w:rsidRPr="00F41E31" w:rsidRDefault="00E6673B" w:rsidP="00374D2C">
      <w:pPr>
        <w:widowControl/>
        <w:numPr>
          <w:ilvl w:val="0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Book Antiqua" w:hAnsi="Book Antiqua" w:cs="Arial"/>
          <w:sz w:val="22"/>
          <w:lang w:val="ru-RU" w:bidi="th-TH"/>
        </w:rPr>
      </w:pPr>
      <w:r w:rsidRPr="00F41E31">
        <w:rPr>
          <w:rFonts w:ascii="Book Antiqua" w:hAnsi="Book Antiqua" w:cs="Arial"/>
          <w:sz w:val="22"/>
          <w:lang w:val="ru-RU" w:bidi="th-TH"/>
        </w:rPr>
        <w:t xml:space="preserve">Семинар </w:t>
      </w:r>
      <w:proofErr w:type="gramStart"/>
      <w:r w:rsidRPr="00F41E31">
        <w:rPr>
          <w:rFonts w:ascii="Book Antiqua" w:hAnsi="Book Antiqua" w:cs="Arial"/>
          <w:sz w:val="22"/>
          <w:lang w:val="ru-RU" w:bidi="th-TH"/>
        </w:rPr>
        <w:t>по разработка</w:t>
      </w:r>
      <w:proofErr w:type="gramEnd"/>
      <w:r w:rsidRPr="00F41E31">
        <w:rPr>
          <w:rFonts w:ascii="Book Antiqua" w:hAnsi="Book Antiqua" w:cs="Arial"/>
          <w:sz w:val="22"/>
          <w:lang w:val="ru-RU" w:bidi="th-TH"/>
        </w:rPr>
        <w:t xml:space="preserve"> обследования: работа с участниками по разработке обследования домохозяйств и по действиям на основе модулей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 w:cs="Arial"/>
          <w:sz w:val="22"/>
          <w:lang w:val="ru-RU" w:bidi="th-TH"/>
        </w:rPr>
        <w:t>/вопросников и стандартов, в том числе по составлению выборки;</w:t>
      </w:r>
    </w:p>
    <w:p w:rsidR="00E6673B" w:rsidRPr="00F41E31" w:rsidRDefault="00E6673B" w:rsidP="000B3706">
      <w:pPr>
        <w:widowControl/>
        <w:numPr>
          <w:ilvl w:val="0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Book Antiqua" w:hAnsi="Book Antiqua" w:cs="Arial"/>
          <w:sz w:val="22"/>
          <w:lang w:val="ru-RU" w:bidi="th-TH"/>
        </w:rPr>
      </w:pPr>
      <w:r w:rsidRPr="00F41E31">
        <w:rPr>
          <w:rFonts w:ascii="Book Antiqua" w:hAnsi="Book Antiqua" w:cs="Arial"/>
          <w:sz w:val="22"/>
          <w:lang w:val="ru-RU" w:bidi="th-TH"/>
        </w:rPr>
        <w:t>Семинар по обработке данных: работа с участниками по применению приложения для ввода данных (</w:t>
      </w:r>
      <w:proofErr w:type="spellStart"/>
      <w:r w:rsidRPr="00F41E31">
        <w:rPr>
          <w:rFonts w:ascii="Book Antiqua" w:hAnsi="Book Antiqua" w:cs="Arial"/>
          <w:sz w:val="22"/>
          <w:lang w:val="ru-RU" w:bidi="th-TH"/>
        </w:rPr>
        <w:t>CSPro</w:t>
      </w:r>
      <w:proofErr w:type="spellEnd"/>
      <w:r w:rsidRPr="00F41E31">
        <w:rPr>
          <w:rFonts w:ascii="Book Antiqua" w:hAnsi="Book Antiqua" w:cs="Arial"/>
          <w:sz w:val="22"/>
          <w:lang w:val="ru-RU" w:bidi="th-TH"/>
        </w:rPr>
        <w:t>), программного обеспечения для составления таблиц (SPSS), а также инструментов архивирования;</w:t>
      </w:r>
    </w:p>
    <w:p w:rsidR="00E6673B" w:rsidRPr="00F41E31" w:rsidRDefault="00E6673B" w:rsidP="000B3706">
      <w:pPr>
        <w:widowControl/>
        <w:numPr>
          <w:ilvl w:val="0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Book Antiqua" w:hAnsi="Book Antiqua" w:cs="Arial"/>
          <w:sz w:val="22"/>
          <w:szCs w:val="22"/>
          <w:lang w:val="ru-RU" w:bidi="th-TH"/>
        </w:rPr>
      </w:pPr>
      <w:r w:rsidRPr="00F41E31">
        <w:rPr>
          <w:rFonts w:ascii="Book Antiqua" w:hAnsi="Book Antiqua"/>
          <w:sz w:val="22"/>
          <w:szCs w:val="22"/>
          <w:lang w:val="ru-RU" w:bidi="th-TH"/>
        </w:rPr>
        <w:t>Семинар по интерпретации, дальнейшему анализу и распространению данных: работа с участниками по проверке выводов и планам распространения и дальнейшего анализа.</w:t>
      </w:r>
    </w:p>
    <w:p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</w:p>
    <w:p w:rsidR="00E6673B" w:rsidRPr="00F41E31" w:rsidRDefault="00E6673B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Статья V. Требования к персоналу</w:t>
      </w:r>
    </w:p>
    <w:p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0B3706">
      <w:pPr>
        <w:pStyle w:val="1"/>
        <w:numPr>
          <w:ilvl w:val="0"/>
          <w:numId w:val="22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Персонал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, назначенный для работы в Проекте, не считается ни сотрудниками, ни агентами ЮНИСЕФ.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НСБ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гарантирует соблюдение всех действующих национальных законов о труде и будет своевременно выплачивать заработную плату и поддерживать уровень заработной платы всех сотрудников, назначенных для работы в Проекте. При этом понимается, что ЮНИСЕФ не несет ответственности по ни каким требованиям/заявлениям вследствие смерти, телесных повреждений, инвалидности, порчи имущества и других опасностей, которым подверглись сотрудники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НСБ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вследствие участия в Проекте или выполнения работы в отношении Проекта. Следовательно, ответственность за покрытие всех соответствующих расходов и выдачу всей соответствующей компенсации своим работникам, за оформление страхования гражданской ответственности для защиты своих сотрудников в любом из вышеупомянутых случаев, а также за оформление всех прочих страховых полисов, согласованных Сторонами, несет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374D2C">
      <w:pPr>
        <w:pStyle w:val="1"/>
        <w:numPr>
          <w:ilvl w:val="0"/>
          <w:numId w:val="22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ЮНИСЕФ несет ответственность за наем консультантов и временного технического персонала, определенного как необходимый для достижения целей Проекта, на условиях, предусмотренных Организацией Объединенных Наций. ЮНИСЕФ должен также способствовать оказанию технической помощи, обеспечению качества, а также пересмотру процессов по мере необходимости и в соответствии с требованиями участия в Глобальной программе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. Указанные </w:t>
      </w:r>
      <w:r w:rsidR="00F96423">
        <w:rPr>
          <w:rFonts w:ascii="Book Antiqua" w:hAnsi="Book Antiqua"/>
          <w:sz w:val="22"/>
          <w:szCs w:val="22"/>
          <w:lang w:val="ru-RU"/>
        </w:rPr>
        <w:t xml:space="preserve">консультанты и временный технический персонал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будут пользоваться </w:t>
      </w:r>
      <w:r w:rsidR="00F96423">
        <w:rPr>
          <w:rFonts w:ascii="Book Antiqua" w:hAnsi="Book Antiqua"/>
          <w:sz w:val="22"/>
          <w:szCs w:val="22"/>
          <w:lang w:val="ru-RU"/>
        </w:rPr>
        <w:t>привилегиями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, предоставляемыми сотрудникам ООН. Эксперты, техники и консультанты, привлекаемые ЮНИСЕФ, не должны подвергаться дискриминации по признаку расы, религии, пола, инвалидности, этнической принадлежности, </w:t>
      </w:r>
      <w:r w:rsidRPr="00F41E31">
        <w:rPr>
          <w:rFonts w:ascii="Book Antiqua" w:hAnsi="Book Antiqua"/>
          <w:sz w:val="22"/>
          <w:szCs w:val="22"/>
          <w:lang w:val="ru-RU"/>
        </w:rPr>
        <w:lastRenderedPageBreak/>
        <w:t>национального происхождения и подобных факторов. Все договоры об оказании консультационных услуг должны включать в себя статью о конфиденциальности всей документации и данных, собранных в ходе Проекта.</w:t>
      </w:r>
    </w:p>
    <w:p w:rsidR="00E6673B" w:rsidRPr="00F41E31" w:rsidRDefault="00E6673B" w:rsidP="00F93BC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F93BC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2065B9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b/>
          <w:sz w:val="22"/>
          <w:szCs w:val="22"/>
          <w:lang w:val="ru-RU"/>
        </w:rPr>
        <w:t>Статья VI. Предметы снабжения, транспортные средства и закупки</w:t>
      </w:r>
    </w:p>
    <w:p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7713E5">
      <w:pPr>
        <w:pStyle w:val="1"/>
        <w:numPr>
          <w:ilvl w:val="0"/>
          <w:numId w:val="24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Материалы, принадлежности и другие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нерасходуемые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 товары, которые предоставляет или предоставление которых финансирует ЮНИСЕФ, должны быть переданы в адрес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после завершения Проекта.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Если ЮНИСЕФ одалживает Проекту транспортные средства, то за их техническое обслуживание и надлежащий уход за ними отвечает ЮНИСЕФ.</w:t>
      </w:r>
    </w:p>
    <w:p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7713E5">
      <w:pPr>
        <w:pStyle w:val="1"/>
        <w:numPr>
          <w:ilvl w:val="0"/>
          <w:numId w:val="24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Все зарубежные поставки, финансируемые из средств ЮНИСЕФ, обеспечивает ЮНИСЕФ. Пользуясь своими привилегиями и иммунитетом, указанная организация освобождается от уплаты прямых налогов и таможенных тарифов.</w:t>
      </w:r>
    </w:p>
    <w:p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7713E5">
      <w:pPr>
        <w:pStyle w:val="1"/>
        <w:numPr>
          <w:ilvl w:val="0"/>
          <w:numId w:val="24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В рамках Проекта надлежит вести полные и точные записи обо всех принадлежностях, оборудовании и других товарах, приобретенных на средства ЮНИСЕФ, и проводить регулярную физическую инвентаризацию всех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нерасходуемых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 товаров, оборудования, материалов и предметов снабжения. Архивирование таких записей и окончательное распоряжение ими происходят согласно действующим организационным инструкциям, касающимся сроков хранения.</w:t>
      </w:r>
    </w:p>
    <w:p w:rsidR="00E6673B" w:rsidRPr="00F41E31" w:rsidRDefault="00E6673B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:rsidR="00E6673B" w:rsidRPr="00F41E31" w:rsidRDefault="00E6673B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:rsidR="00E6673B" w:rsidRPr="00F41E31" w:rsidRDefault="00E6673B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Статья VII. Финансовые и операционные соглашения</w:t>
      </w:r>
    </w:p>
    <w:p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7713E5">
      <w:pPr>
        <w:pStyle w:val="1"/>
        <w:numPr>
          <w:ilvl w:val="0"/>
          <w:numId w:val="45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Средства, выделенные Проекту со стороны ЮНИСЕФ, будут управляться в соответствии с операционной политикой и процедурами ЮНИСЕФ и с соблюдением Международных стандартов учета в государственном секторе.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НСБ </w:t>
      </w:r>
      <w:r w:rsidRPr="00F41E31">
        <w:rPr>
          <w:rFonts w:ascii="Book Antiqua" w:hAnsi="Book Antiqua"/>
          <w:sz w:val="22"/>
          <w:szCs w:val="22"/>
          <w:lang w:val="ru-RU"/>
        </w:rPr>
        <w:t>должно своевременно предоставлять необходимую документацию, требуемую для финансовой отчетности</w:t>
      </w:r>
      <w:r w:rsidR="00F96423">
        <w:rPr>
          <w:rFonts w:ascii="Book Antiqua" w:hAnsi="Book Antiqua"/>
          <w:sz w:val="22"/>
          <w:szCs w:val="22"/>
          <w:lang w:val="ru-RU"/>
        </w:rPr>
        <w:t>, в соответствии с Согласованным подходом к передаче денежных средств (</w:t>
      </w:r>
      <w:r w:rsidR="00F96423">
        <w:rPr>
          <w:rFonts w:ascii="Book Antiqua" w:hAnsi="Book Antiqua"/>
          <w:sz w:val="22"/>
          <w:szCs w:val="22"/>
        </w:rPr>
        <w:t>HACT</w:t>
      </w:r>
      <w:r w:rsidR="00F96423" w:rsidRPr="00F96423">
        <w:rPr>
          <w:rFonts w:ascii="Book Antiqua" w:hAnsi="Book Antiqua"/>
          <w:sz w:val="22"/>
          <w:szCs w:val="22"/>
          <w:lang w:val="ru-RU"/>
        </w:rPr>
        <w:t>)</w:t>
      </w:r>
      <w:r w:rsidR="00F96423">
        <w:rPr>
          <w:rFonts w:ascii="Book Antiqua" w:hAnsi="Book Antiqua"/>
          <w:sz w:val="22"/>
          <w:szCs w:val="22"/>
          <w:lang w:val="ru-RU"/>
        </w:rPr>
        <w:t xml:space="preserve"> и положениями Рамочной программы ООН по оказанию помощи в целях развития </w:t>
      </w:r>
      <w:r w:rsidR="00F96423" w:rsidRPr="00F96423">
        <w:rPr>
          <w:rFonts w:ascii="Book Antiqua" w:hAnsi="Book Antiqua"/>
          <w:sz w:val="22"/>
          <w:szCs w:val="22"/>
          <w:lang w:val="ru-RU"/>
        </w:rPr>
        <w:t>(</w:t>
      </w:r>
      <w:r w:rsidR="00F96423">
        <w:rPr>
          <w:rFonts w:ascii="Book Antiqua" w:hAnsi="Book Antiqua"/>
          <w:sz w:val="22"/>
          <w:szCs w:val="22"/>
        </w:rPr>
        <w:t>UNDAF</w:t>
      </w:r>
      <w:r w:rsidR="00F96423" w:rsidRPr="00F96423">
        <w:rPr>
          <w:rFonts w:ascii="Book Antiqua" w:hAnsi="Book Antiqua"/>
          <w:sz w:val="22"/>
          <w:szCs w:val="22"/>
          <w:lang w:val="ru-RU"/>
        </w:rPr>
        <w:t>)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</w:p>
    <w:p w:rsidR="00E6673B" w:rsidRPr="00F41E31" w:rsidRDefault="00E6673B" w:rsidP="00B57E71">
      <w:pPr>
        <w:pStyle w:val="1"/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7713E5">
      <w:pPr>
        <w:pStyle w:val="1"/>
        <w:numPr>
          <w:ilvl w:val="0"/>
          <w:numId w:val="45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НСБ 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предоставит персонал и услуги, которые будут оговорены в Плане и Бюджете обследования. При этом понимается, что финансовые вложения ЮНИСЕФ в Бюджет Проекта не могут использоваться для выплаты заработной платы сотрудникам или персоналу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НСБ </w:t>
      </w:r>
      <w:r w:rsidRPr="00F41E31">
        <w:rPr>
          <w:rFonts w:ascii="Book Antiqua" w:hAnsi="Book Antiqua"/>
          <w:sz w:val="22"/>
          <w:szCs w:val="22"/>
          <w:lang w:val="ru-RU"/>
        </w:rPr>
        <w:t>и для покрытия прямых и косвенных расходов на содержание объектов.</w:t>
      </w:r>
    </w:p>
    <w:p w:rsidR="00E6673B" w:rsidRPr="00F41E31" w:rsidRDefault="00E6673B" w:rsidP="00F93BC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F93BC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lastRenderedPageBreak/>
        <w:tab/>
      </w:r>
      <w:r w:rsidRPr="00F41E31">
        <w:rPr>
          <w:rFonts w:ascii="Book Antiqua" w:hAnsi="Book Antiqua"/>
          <w:b/>
          <w:sz w:val="22"/>
          <w:szCs w:val="22"/>
          <w:lang w:val="ru-RU"/>
        </w:rPr>
        <w:t>Статья VIII. Досрочное прекращение действия</w:t>
      </w:r>
    </w:p>
    <w:p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C818FC">
      <w:pPr>
        <w:pStyle w:val="1"/>
        <w:numPr>
          <w:ilvl w:val="0"/>
          <w:numId w:val="25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Любая из Сторон может прекратить действие настоящего Соглашения в течение тридцати дней после подачи соответствующего письменного уведомления, если другая Сторона будет не в состоянии, не пожелает или каким-то образом не сможет выполнять свои обязательства и обязанности по настоящему Соглашению, тем самым ставя под угрозу достижение целей Проекта, и при условии, что Стороны безрезультатно провели консультации в попытке устранить возникшее препятствие.</w:t>
      </w:r>
    </w:p>
    <w:p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C818FC">
      <w:pPr>
        <w:pStyle w:val="1"/>
        <w:numPr>
          <w:ilvl w:val="0"/>
          <w:numId w:val="25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После подачи уведомления о прекращении действия, предусмотренного в предыдущем пункте, Стороны должны будут незамедлительно принять необходимые меры для оперативного и организованного завершения своей деятельности по настоящему Соглашению, чтобы минимизировать потери и дополнительные расходы. При этом ЮНИСЕФ не будет выделять Проекту дополнительные средства.</w:t>
      </w:r>
    </w:p>
    <w:p w:rsidR="00E6673B" w:rsidRPr="00F41E31" w:rsidRDefault="00E6673B" w:rsidP="00FD2765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C818FC">
      <w:pPr>
        <w:pStyle w:val="1"/>
        <w:numPr>
          <w:ilvl w:val="0"/>
          <w:numId w:val="25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В течение тридцати дней с момента уведомления о прекращении действия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НСБ </w:t>
      </w:r>
      <w:r w:rsidRPr="00F41E31">
        <w:rPr>
          <w:rFonts w:ascii="Book Antiqua" w:hAnsi="Book Antiqua"/>
          <w:sz w:val="22"/>
          <w:szCs w:val="22"/>
          <w:lang w:val="ru-RU"/>
        </w:rPr>
        <w:t>должно возвратить ЮНИСЕФ остаток средств ЮНИСЕФ, перечисленных в соответствии с графиком работ, содержащимся в настоящем Соглашении, если на момент подачи уведомления о прекращении действия такие средства не были переданы безвозвратно.</w:t>
      </w:r>
    </w:p>
    <w:p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b/>
          <w:sz w:val="22"/>
          <w:szCs w:val="22"/>
          <w:lang w:val="ru-RU"/>
        </w:rPr>
      </w:pPr>
    </w:p>
    <w:p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b/>
          <w:sz w:val="22"/>
          <w:szCs w:val="22"/>
          <w:lang w:val="ru-RU"/>
        </w:rPr>
      </w:pPr>
    </w:p>
    <w:p w:rsidR="00E6673B" w:rsidRPr="00F41E31" w:rsidRDefault="00E6673B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Статья IX. Обстоятельства непреодолимой силы</w:t>
      </w:r>
    </w:p>
    <w:p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4123B7">
      <w:pPr>
        <w:pStyle w:val="1"/>
        <w:numPr>
          <w:ilvl w:val="0"/>
          <w:numId w:val="26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В случае обстоятельств непреодолимой силы, определенных в Статье I (</w:t>
      </w:r>
      <w:r w:rsidR="004123B7">
        <w:rPr>
          <w:rFonts w:ascii="Book Antiqua" w:hAnsi="Book Antiqua"/>
          <w:sz w:val="22"/>
          <w:szCs w:val="22"/>
          <w:lang w:val="ru-RU"/>
        </w:rPr>
        <w:t>8</w:t>
      </w:r>
      <w:r w:rsidRPr="00F41E31">
        <w:rPr>
          <w:rFonts w:ascii="Book Antiqua" w:hAnsi="Book Antiqua"/>
          <w:sz w:val="22"/>
          <w:szCs w:val="22"/>
          <w:lang w:val="ru-RU"/>
        </w:rPr>
        <w:t>), каждая Сторона обязана незамедлительно уведомить о них другую Сторону. Если Сторона (Стороны) не сможет (-гут) полностью или частично выполнить обязательства или обязанности по Соглашению Проекта, то сведения о соответствующем событии и его последствиях будут, если возможно, сообщаться письменно. Стороны будут вести переговоры относительно принятия соответствующих мер. Сюда может включаться приостановка Проекта или прекращение действия настоящего Соглашения.</w:t>
      </w:r>
    </w:p>
    <w:p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E86995">
      <w:pPr>
        <w:pStyle w:val="1"/>
        <w:numPr>
          <w:ilvl w:val="0"/>
          <w:numId w:val="26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Если настоящее Соглашение будет прекращено по причинам возникновения обстоятельств непреодолимой силы, то будут применяться положения, изл</w:t>
      </w:r>
      <w:r w:rsidR="007713E5">
        <w:rPr>
          <w:rFonts w:ascii="Book Antiqua" w:hAnsi="Book Antiqua"/>
          <w:sz w:val="22"/>
          <w:szCs w:val="22"/>
          <w:lang w:val="ru-RU"/>
        </w:rPr>
        <w:t xml:space="preserve">оженные в Статье VIII, пунктах </w:t>
      </w:r>
      <w:r w:rsidRPr="00F41E31">
        <w:rPr>
          <w:rFonts w:ascii="Book Antiqua" w:hAnsi="Book Antiqua"/>
          <w:sz w:val="22"/>
          <w:szCs w:val="22"/>
          <w:lang w:val="ru-RU"/>
        </w:rPr>
        <w:t>2 и 3.</w:t>
      </w:r>
    </w:p>
    <w:p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b/>
          <w:sz w:val="22"/>
          <w:szCs w:val="22"/>
          <w:lang w:val="ru-RU"/>
        </w:rPr>
        <w:t>Статья X. Арбитраж</w:t>
      </w:r>
    </w:p>
    <w:p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C818FC">
      <w:pPr>
        <w:pStyle w:val="1"/>
        <w:numPr>
          <w:ilvl w:val="0"/>
          <w:numId w:val="27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 xml:space="preserve">Любой спор, разногласие или претензия, возникшие из настоящего Соглашения или связанные с ним, в том числе с нарушением и последующим прекращением </w:t>
      </w:r>
      <w:r w:rsidRPr="00F41E31">
        <w:rPr>
          <w:rFonts w:ascii="Book Antiqua" w:hAnsi="Book Antiqua"/>
          <w:sz w:val="22"/>
          <w:szCs w:val="22"/>
          <w:lang w:val="ru-RU"/>
        </w:rPr>
        <w:lastRenderedPageBreak/>
        <w:t>действия настоящего Соглашения, если они не будут разрешены дружественно путем прямых переговоров, передаются по просьбе одной из Сторон в арбитражный суд, состоящий из трех арбитров. Одного из арбитров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назначает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НСБ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; другого арбитра назначает Генеральный Секретариат Организации Объединенных Наций. Эти два арбитра назначают третьего. Если одна из Сторон не сможет назначить арбитра в течение 30 дней по получении просьбы другой Стороны о таком назначении или если два арбитра не смогут прийти к согласию о кандидатуре третьего в течение 30 дней с момента своего назначения, то необходимые назначения начнет по просьбе одной из Сторон председатель Международного суда ООН. Порядок арбитражного разбирательства определяют арбитры; расходы на арбитраж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Стóроны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 xml:space="preserve"> несут в пропорции, определенной арбитрами. В арбитражном решении должна быть указана его мотивировка, и оно принимается Сторонами в качестве обязательного к исполнению в отношении спора, даже если выдано в отсутствие одной из Сторон.</w:t>
      </w:r>
    </w:p>
    <w:p w:rsidR="00E6673B" w:rsidRPr="00F41E31" w:rsidRDefault="00E6673B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4123B7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Статья XI. </w:t>
      </w:r>
      <w:r w:rsidR="004123B7">
        <w:rPr>
          <w:rFonts w:ascii="Book Antiqua" w:hAnsi="Book Antiqua"/>
          <w:b/>
          <w:sz w:val="22"/>
          <w:szCs w:val="22"/>
          <w:lang w:val="ru-RU"/>
        </w:rPr>
        <w:t>Привилегии</w:t>
      </w: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 и иммунитет</w:t>
      </w:r>
    </w:p>
    <w:p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6907E4">
      <w:pPr>
        <w:pStyle w:val="1"/>
        <w:numPr>
          <w:ilvl w:val="0"/>
          <w:numId w:val="47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proofErr w:type="gramStart"/>
      <w:r w:rsidRPr="006907E4">
        <w:rPr>
          <w:rFonts w:ascii="Book Antiqua" w:hAnsi="Book Antiqua"/>
          <w:sz w:val="22"/>
          <w:szCs w:val="22"/>
          <w:lang w:val="ru-RU"/>
        </w:rPr>
        <w:t>Ничто</w:t>
      </w:r>
      <w:proofErr w:type="gramEnd"/>
      <w:r w:rsidRPr="006907E4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содержащееся в настоящем Соглашении или связанное с ним не может рассматриваться как явный и</w:t>
      </w:r>
      <w:r w:rsidR="004123B7">
        <w:rPr>
          <w:rFonts w:ascii="Book Antiqua" w:hAnsi="Book Antiqua"/>
          <w:sz w:val="22"/>
          <w:szCs w:val="22"/>
          <w:lang w:val="ru-RU"/>
        </w:rPr>
        <w:t>ли подразумеваемый отказ от каких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-либо </w:t>
      </w:r>
      <w:r w:rsidR="004123B7">
        <w:rPr>
          <w:rFonts w:ascii="Book Antiqua" w:hAnsi="Book Antiqua"/>
          <w:sz w:val="22"/>
          <w:szCs w:val="22"/>
          <w:lang w:val="ru-RU"/>
        </w:rPr>
        <w:t>привилегий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или</w:t>
      </w:r>
      <w:r w:rsidR="004123B7">
        <w:rPr>
          <w:rFonts w:ascii="Book Antiqua" w:hAnsi="Book Antiqua"/>
          <w:sz w:val="22"/>
          <w:szCs w:val="22"/>
          <w:lang w:val="ru-RU"/>
        </w:rPr>
        <w:t xml:space="preserve"> какого-либо</w:t>
      </w:r>
      <w:r w:rsidRPr="00F41E31">
        <w:rPr>
          <w:rFonts w:ascii="Book Antiqua" w:hAnsi="Book Antiqua"/>
          <w:sz w:val="22"/>
          <w:szCs w:val="22"/>
          <w:lang w:val="ru-RU"/>
        </w:rPr>
        <w:t xml:space="preserve"> иммунитета, определенной (-ого) для ООН и ЮНИСЕФ.</w:t>
      </w:r>
    </w:p>
    <w:p w:rsidR="00E6673B" w:rsidRPr="006907E4" w:rsidRDefault="00E6673B" w:rsidP="00D057EB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6907E4" w:rsidRDefault="00E6673B" w:rsidP="006907E4">
      <w:pPr>
        <w:pStyle w:val="1"/>
        <w:numPr>
          <w:ilvl w:val="0"/>
          <w:numId w:val="47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color w:val="FF0000"/>
          <w:sz w:val="22"/>
          <w:szCs w:val="22"/>
          <w:lang w:val="ru-RU"/>
        </w:rPr>
      </w:pPr>
      <w:r w:rsidRPr="006907E4">
        <w:rPr>
          <w:rFonts w:ascii="Book Antiqua" w:hAnsi="Book Antiqua"/>
          <w:color w:val="FF0000"/>
          <w:sz w:val="22"/>
          <w:szCs w:val="22"/>
          <w:lang w:val="ru-RU"/>
        </w:rPr>
        <w:t>Для всех своих целей</w:t>
      </w:r>
      <w:r w:rsidR="004123B7" w:rsidRPr="006907E4">
        <w:rPr>
          <w:rFonts w:ascii="Book Antiqua" w:hAnsi="Book Antiqua"/>
          <w:color w:val="FF0000"/>
          <w:sz w:val="22"/>
          <w:szCs w:val="22"/>
          <w:lang w:val="ru-RU"/>
        </w:rPr>
        <w:t xml:space="preserve"> Документ по (Общей) </w:t>
      </w:r>
      <w:proofErr w:type="spellStart"/>
      <w:r w:rsidR="004123B7" w:rsidRPr="006907E4">
        <w:rPr>
          <w:rFonts w:ascii="Book Antiqua" w:hAnsi="Book Antiqua"/>
          <w:color w:val="FF0000"/>
          <w:sz w:val="22"/>
          <w:szCs w:val="22"/>
          <w:lang w:val="ru-RU"/>
        </w:rPr>
        <w:t>Страновой</w:t>
      </w:r>
      <w:proofErr w:type="spellEnd"/>
      <w:r w:rsidR="004123B7" w:rsidRPr="006907E4">
        <w:rPr>
          <w:rFonts w:ascii="Book Antiqua" w:hAnsi="Book Antiqua"/>
          <w:color w:val="FF0000"/>
          <w:sz w:val="22"/>
          <w:szCs w:val="22"/>
          <w:lang w:val="ru-RU"/>
        </w:rPr>
        <w:t xml:space="preserve"> программе / Основное соглашение о сотрудничестве / другое заменяющее соглашение</w:t>
      </w:r>
      <w:r w:rsidRPr="006907E4">
        <w:rPr>
          <w:rFonts w:ascii="Book Antiqua" w:hAnsi="Book Antiqua"/>
          <w:color w:val="FF0000"/>
          <w:sz w:val="22"/>
          <w:szCs w:val="22"/>
          <w:lang w:val="ru-RU"/>
        </w:rPr>
        <w:t>, подписанное</w:t>
      </w:r>
      <w:r w:rsidR="004123B7" w:rsidRPr="006907E4">
        <w:rPr>
          <w:rFonts w:ascii="Book Antiqua" w:hAnsi="Book Antiqua"/>
          <w:color w:val="FF0000"/>
          <w:sz w:val="22"/>
          <w:szCs w:val="22"/>
          <w:lang w:val="ru-RU"/>
        </w:rPr>
        <w:t xml:space="preserve"> Правительством</w:t>
      </w:r>
      <w:r w:rsidRPr="006907E4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4123B7" w:rsidRPr="006907E4">
        <w:rPr>
          <w:rFonts w:ascii="Book Antiqua" w:hAnsi="Book Antiqua"/>
          <w:color w:val="FF0000"/>
          <w:sz w:val="22"/>
          <w:szCs w:val="22"/>
          <w:lang w:val="ru-RU"/>
        </w:rPr>
        <w:t xml:space="preserve">страны </w:t>
      </w:r>
      <w:r w:rsidRPr="006907E4">
        <w:rPr>
          <w:rFonts w:ascii="Book Antiqua" w:hAnsi="Book Antiqua"/>
          <w:color w:val="FF0000"/>
          <w:sz w:val="22"/>
          <w:szCs w:val="22"/>
          <w:lang w:val="ru-RU"/>
        </w:rPr>
        <w:t xml:space="preserve">и </w:t>
      </w:r>
      <w:proofErr w:type="spellStart"/>
      <w:r w:rsidRPr="006907E4">
        <w:rPr>
          <w:rFonts w:ascii="Book Antiqua" w:hAnsi="Book Antiqua"/>
          <w:color w:val="FF0000"/>
          <w:sz w:val="22"/>
          <w:szCs w:val="22"/>
          <w:lang w:val="ru-RU"/>
        </w:rPr>
        <w:t>страновым</w:t>
      </w:r>
      <w:proofErr w:type="spellEnd"/>
      <w:r w:rsidRPr="006907E4">
        <w:rPr>
          <w:rFonts w:ascii="Book Antiqua" w:hAnsi="Book Antiqua"/>
          <w:color w:val="FF0000"/>
          <w:sz w:val="22"/>
          <w:szCs w:val="22"/>
          <w:lang w:val="ru-RU"/>
        </w:rPr>
        <w:t xml:space="preserve"> представительством ЮНИСЕФ дата, имеет преимущественную силу над любым положением настоящего Соглашения, противоречащим ему.</w:t>
      </w:r>
    </w:p>
    <w:p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b/>
          <w:sz w:val="22"/>
          <w:szCs w:val="22"/>
          <w:lang w:val="ru-RU"/>
        </w:rPr>
        <w:t xml:space="preserve">Статья XII. Поправки </w:t>
      </w:r>
    </w:p>
    <w:p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6907E4">
      <w:pPr>
        <w:pStyle w:val="1"/>
        <w:numPr>
          <w:ilvl w:val="0"/>
          <w:numId w:val="4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Внесение изменений или поправок в настоящее Соглашение или его приложения допускается только в виде письменного соглашения, подписанного обеими Сторонами.</w:t>
      </w:r>
    </w:p>
    <w:p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bookmarkStart w:id="0" w:name="QuickMark"/>
      <w:bookmarkEnd w:id="0"/>
    </w:p>
    <w:p w:rsidR="00E6673B" w:rsidRPr="00F41E31" w:rsidRDefault="00E6673B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6907E4" w:rsidP="006907E4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b/>
          <w:sz w:val="22"/>
          <w:szCs w:val="22"/>
          <w:lang w:val="ru-RU"/>
        </w:rPr>
        <w:tab/>
      </w:r>
      <w:r w:rsidR="00E6673B" w:rsidRPr="00F41E31">
        <w:rPr>
          <w:rFonts w:ascii="Book Antiqua" w:hAnsi="Book Antiqua"/>
          <w:b/>
          <w:sz w:val="22"/>
          <w:szCs w:val="22"/>
          <w:lang w:val="ru-RU"/>
        </w:rPr>
        <w:t xml:space="preserve">В УДОСТОВЕРЕНИЕ ЧЕГО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нижеподписавшиеся, должным образом уполномоченные на подписание и действующие как представители Сторон, скрепляют подписями настоящее Соглашение на дату и в месте, которые указаны ниже:</w:t>
      </w:r>
    </w:p>
    <w:p w:rsidR="00E6673B" w:rsidRPr="00F41E31" w:rsidRDefault="00E6673B">
      <w:pPr>
        <w:spacing w:line="264" w:lineRule="auto"/>
        <w:jc w:val="both"/>
        <w:rPr>
          <w:rFonts w:ascii="Book Antiqua" w:hAnsi="Book Antiqua"/>
          <w:color w:val="000000"/>
          <w:sz w:val="22"/>
          <w:szCs w:val="22"/>
          <w:lang w:val="ru-RU"/>
        </w:rPr>
      </w:pPr>
      <w:bookmarkStart w:id="1" w:name="_GoBack"/>
      <w:bookmarkEnd w:id="1"/>
    </w:p>
    <w:p w:rsidR="00E6673B" w:rsidRPr="00F41E31" w:rsidRDefault="00E6673B" w:rsidP="00DA75B4">
      <w:pPr>
        <w:pStyle w:val="Heading1"/>
        <w:spacing w:line="264" w:lineRule="auto"/>
        <w:rPr>
          <w:rFonts w:ascii="Book Antiqua" w:hAnsi="Book Antiqua"/>
          <w:b w:val="0"/>
          <w:color w:val="000000"/>
          <w:sz w:val="22"/>
          <w:szCs w:val="22"/>
          <w:lang w:val="ru-RU" w:eastAsia="x-none"/>
        </w:rPr>
      </w:pPr>
      <w:r w:rsidRPr="00F41E31">
        <w:rPr>
          <w:rFonts w:ascii="Book Antiqua" w:hAnsi="Book Antiqua"/>
          <w:b w:val="0"/>
          <w:color w:val="000000"/>
          <w:sz w:val="22"/>
          <w:szCs w:val="22"/>
          <w:lang w:val="ru-RU" w:eastAsia="x-none"/>
        </w:rPr>
        <w:t xml:space="preserve">Подписано в </w:t>
      </w:r>
      <w:r w:rsidRPr="00F41E31">
        <w:rPr>
          <w:rFonts w:ascii="Book Antiqua" w:hAnsi="Book Antiqua"/>
          <w:b w:val="0"/>
          <w:color w:val="FF0000"/>
          <w:sz w:val="22"/>
          <w:szCs w:val="22"/>
          <w:lang w:val="ru-RU" w:eastAsia="x-none"/>
        </w:rPr>
        <w:t>город</w:t>
      </w:r>
      <w:r w:rsidRPr="00F41E31">
        <w:rPr>
          <w:rFonts w:ascii="Book Antiqua" w:hAnsi="Book Antiqua"/>
          <w:b w:val="0"/>
          <w:color w:val="000000"/>
          <w:sz w:val="22"/>
          <w:szCs w:val="22"/>
          <w:lang w:val="ru-RU" w:eastAsia="x-none"/>
        </w:rPr>
        <w:t xml:space="preserve"> </w:t>
      </w:r>
      <w:r w:rsidRPr="00F41E31">
        <w:rPr>
          <w:rFonts w:ascii="Book Antiqua" w:hAnsi="Book Antiqua"/>
          <w:b w:val="0"/>
          <w:color w:val="FF0000"/>
          <w:sz w:val="22"/>
          <w:szCs w:val="22"/>
          <w:lang w:val="ru-RU" w:eastAsia="x-none"/>
        </w:rPr>
        <w:t>дата</w:t>
      </w:r>
      <w:r w:rsidRPr="00F41E31">
        <w:rPr>
          <w:rFonts w:ascii="Book Antiqua" w:hAnsi="Book Antiqua"/>
          <w:b w:val="0"/>
          <w:color w:val="000000"/>
          <w:sz w:val="22"/>
          <w:szCs w:val="22"/>
          <w:lang w:val="ru-RU" w:eastAsia="x-none"/>
        </w:rPr>
        <w:t>.</w:t>
      </w:r>
    </w:p>
    <w:p w:rsidR="00E6673B" w:rsidRPr="00F41E31" w:rsidRDefault="00E6673B" w:rsidP="00D057EB">
      <w:pPr>
        <w:rPr>
          <w:lang w:val="ru-RU"/>
        </w:rPr>
      </w:pPr>
    </w:p>
    <w:p w:rsidR="00E6673B" w:rsidRPr="00F41E31" w:rsidRDefault="00E6673B" w:rsidP="00D057EB">
      <w:pPr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D057EB">
      <w:pPr>
        <w:rPr>
          <w:rFonts w:ascii="Book Antiqua" w:hAnsi="Book Antiqua"/>
          <w:sz w:val="22"/>
          <w:szCs w:val="22"/>
          <w:lang w:val="ru-RU"/>
        </w:rPr>
      </w:pPr>
    </w:p>
    <w:p w:rsidR="00E6673B" w:rsidRPr="00F41E31" w:rsidRDefault="00E6673B" w:rsidP="00D057EB">
      <w:pPr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br w:type="page"/>
      </w:r>
      <w:r w:rsidRPr="00F41E31">
        <w:rPr>
          <w:rFonts w:ascii="Book Antiqua" w:hAnsi="Book Antiqua"/>
          <w:sz w:val="22"/>
          <w:szCs w:val="22"/>
          <w:lang w:val="ru-RU"/>
        </w:rPr>
        <w:lastRenderedPageBreak/>
        <w:t>От имени</w:t>
      </w:r>
    </w:p>
    <w:p w:rsidR="00E6673B" w:rsidRPr="00F41E31" w:rsidRDefault="00E6673B" w:rsidP="00D55049">
      <w:pPr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национального статистического бюро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>____________________________________</w:t>
      </w:r>
    </w:p>
    <w:p w:rsidR="00E6673B" w:rsidRPr="00F41E31" w:rsidRDefault="00E6673B" w:rsidP="00D057EB">
      <w:pPr>
        <w:rPr>
          <w:rFonts w:ascii="Book Antiqua" w:hAnsi="Book Antiqua"/>
          <w:color w:val="FF0000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Имя</w:t>
      </w:r>
    </w:p>
    <w:p w:rsidR="00E6673B" w:rsidRPr="00F41E31" w:rsidRDefault="00E6673B" w:rsidP="00D057EB">
      <w:pPr>
        <w:rPr>
          <w:rFonts w:ascii="Book Antiqua" w:hAnsi="Book Antiqua"/>
          <w:color w:val="FF0000"/>
          <w:sz w:val="22"/>
          <w:szCs w:val="22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  <w:t>Должность</w:t>
      </w:r>
    </w:p>
    <w:p w:rsidR="00E6673B" w:rsidRPr="00F41E31" w:rsidRDefault="00E6673B" w:rsidP="00D057EB">
      <w:pPr>
        <w:rPr>
          <w:lang w:val="ru-RU"/>
        </w:rPr>
      </w:pPr>
    </w:p>
    <w:p w:rsidR="00E6673B" w:rsidRPr="00F41E31" w:rsidRDefault="00E6673B" w:rsidP="00D057EB">
      <w:pPr>
        <w:rPr>
          <w:lang w:val="ru-RU"/>
        </w:rPr>
      </w:pPr>
    </w:p>
    <w:p w:rsidR="00E6673B" w:rsidRPr="00F41E31" w:rsidRDefault="00E6673B" w:rsidP="00D057EB">
      <w:pPr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От имени</w:t>
      </w:r>
    </w:p>
    <w:p w:rsidR="00E6673B" w:rsidRPr="00F41E31" w:rsidRDefault="00E6673B" w:rsidP="00D55049">
      <w:pPr>
        <w:rPr>
          <w:rFonts w:ascii="Book Antiqua" w:hAnsi="Book Antiqua"/>
          <w:sz w:val="22"/>
          <w:szCs w:val="22"/>
          <w:lang w:val="ru-RU"/>
        </w:rPr>
      </w:pPr>
      <w:proofErr w:type="spellStart"/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странового</w:t>
      </w:r>
      <w:proofErr w:type="spellEnd"/>
      <w:r w:rsidRPr="00F41E31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представительства ЮНИСЕФ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>____________________________________</w:t>
      </w:r>
    </w:p>
    <w:p w:rsidR="00E6673B" w:rsidRPr="00F41E31" w:rsidRDefault="00E6673B" w:rsidP="00D057EB">
      <w:pPr>
        <w:rPr>
          <w:rFonts w:ascii="Book Antiqua" w:hAnsi="Book Antiqua"/>
          <w:color w:val="FF0000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Имя</w:t>
      </w:r>
    </w:p>
    <w:p w:rsidR="00E6673B" w:rsidRPr="00F41E31" w:rsidRDefault="00E6673B" w:rsidP="00D057EB">
      <w:pPr>
        <w:rPr>
          <w:color w:val="FF0000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  <w:t>Должность</w:t>
      </w:r>
    </w:p>
    <w:sectPr w:rsidR="00E6673B" w:rsidRPr="00F41E31" w:rsidSect="00D057EB">
      <w:footerReference w:type="default" r:id="rId7"/>
      <w:endnotePr>
        <w:numFmt w:val="decimal"/>
      </w:endnotePr>
      <w:pgSz w:w="11907" w:h="16839" w:code="9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79" w:rsidRDefault="00155F79">
      <w:r>
        <w:separator/>
      </w:r>
    </w:p>
  </w:endnote>
  <w:endnote w:type="continuationSeparator" w:id="0">
    <w:p w:rsidR="00155F79" w:rsidRDefault="0015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23" w:rsidRDefault="00F96423" w:rsidP="000063D4">
    <w:pPr>
      <w:pStyle w:val="Footer"/>
      <w:jc w:val="right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  <w:lang w:eastAsia="x-none"/>
      </w:rPr>
      <w:t>Страница</w:t>
    </w:r>
    <w:r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8"/>
        <w:szCs w:val="18"/>
      </w:rPr>
      <w:fldChar w:fldCharType="begin"/>
    </w:r>
    <w:r>
      <w:rPr>
        <w:rFonts w:ascii="Book Antiqua" w:hAnsi="Book Antiqua"/>
        <w:sz w:val="18"/>
        <w:szCs w:val="18"/>
      </w:rPr>
      <w:instrText xml:space="preserve"> PAGE   \* MERGEFORMAT </w:instrText>
    </w:r>
    <w:r>
      <w:rPr>
        <w:rFonts w:ascii="Book Antiqua" w:hAnsi="Book Antiqua"/>
        <w:sz w:val="18"/>
        <w:szCs w:val="18"/>
      </w:rPr>
      <w:fldChar w:fldCharType="separate"/>
    </w:r>
    <w:r w:rsidR="006907E4">
      <w:rPr>
        <w:rFonts w:ascii="Book Antiqua" w:hAnsi="Book Antiqua"/>
        <w:noProof/>
        <w:sz w:val="18"/>
        <w:szCs w:val="18"/>
      </w:rPr>
      <w:t>10</w:t>
    </w:r>
    <w:r>
      <w:rPr>
        <w:rFonts w:ascii="Book Antiqua" w:hAnsi="Book Antiqua"/>
        <w:sz w:val="18"/>
        <w:szCs w:val="18"/>
      </w:rPr>
      <w:fldChar w:fldCharType="end"/>
    </w:r>
    <w:r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8"/>
        <w:szCs w:val="18"/>
        <w:lang w:eastAsia="x-none"/>
      </w:rPr>
      <w:t>из</w:t>
    </w:r>
    <w:r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8"/>
        <w:szCs w:val="18"/>
      </w:rPr>
      <w:fldChar w:fldCharType="begin"/>
    </w:r>
    <w:r>
      <w:rPr>
        <w:rFonts w:ascii="Book Antiqua" w:hAnsi="Book Antiqua"/>
        <w:sz w:val="18"/>
        <w:szCs w:val="18"/>
      </w:rPr>
      <w:instrText xml:space="preserve"> NUMPAGES   \* MERGEFORMAT </w:instrText>
    </w:r>
    <w:r>
      <w:rPr>
        <w:rFonts w:ascii="Book Antiqua" w:hAnsi="Book Antiqua"/>
        <w:sz w:val="18"/>
        <w:szCs w:val="18"/>
      </w:rPr>
      <w:fldChar w:fldCharType="separate"/>
    </w:r>
    <w:r w:rsidR="006907E4">
      <w:rPr>
        <w:rFonts w:ascii="Book Antiqua" w:hAnsi="Book Antiqua"/>
        <w:noProof/>
        <w:sz w:val="18"/>
        <w:szCs w:val="18"/>
      </w:rPr>
      <w:t>10</w:t>
    </w:r>
    <w:r>
      <w:rPr>
        <w:rFonts w:ascii="Book Antiqua" w:hAnsi="Book Antiqua"/>
        <w:sz w:val="18"/>
        <w:szCs w:val="18"/>
      </w:rPr>
      <w:fldChar w:fldCharType="end"/>
    </w:r>
  </w:p>
  <w:p w:rsidR="00F96423" w:rsidRDefault="00F96423">
    <w:pPr>
      <w:pStyle w:val="Footer"/>
      <w:jc w:val="center"/>
    </w:pPr>
  </w:p>
  <w:p w:rsidR="00F96423" w:rsidRDefault="00F96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79" w:rsidRDefault="00155F79">
      <w:r>
        <w:separator/>
      </w:r>
    </w:p>
  </w:footnote>
  <w:footnote w:type="continuationSeparator" w:id="0">
    <w:p w:rsidR="00155F79" w:rsidRDefault="0015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6D1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A32E81"/>
    <w:multiLevelType w:val="hybridMultilevel"/>
    <w:tmpl w:val="8E2800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B95E71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6046DF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207D9C"/>
    <w:multiLevelType w:val="multilevel"/>
    <w:tmpl w:val="A7FE3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947DD9"/>
    <w:multiLevelType w:val="hybridMultilevel"/>
    <w:tmpl w:val="7568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FC10FA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072FFC"/>
    <w:multiLevelType w:val="hybridMultilevel"/>
    <w:tmpl w:val="8E2800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802308"/>
    <w:multiLevelType w:val="hybridMultilevel"/>
    <w:tmpl w:val="7B74A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FAF3DD4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2DE694A"/>
    <w:multiLevelType w:val="hybridMultilevel"/>
    <w:tmpl w:val="26968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5141A3F"/>
    <w:multiLevelType w:val="hybridMultilevel"/>
    <w:tmpl w:val="8E2800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7536542"/>
    <w:multiLevelType w:val="hybridMultilevel"/>
    <w:tmpl w:val="D0087F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A16FC8"/>
    <w:multiLevelType w:val="hybridMultilevel"/>
    <w:tmpl w:val="0C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821888"/>
    <w:multiLevelType w:val="hybridMultilevel"/>
    <w:tmpl w:val="BFEA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9B19EE"/>
    <w:multiLevelType w:val="hybridMultilevel"/>
    <w:tmpl w:val="FB50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BC6B18"/>
    <w:multiLevelType w:val="hybridMultilevel"/>
    <w:tmpl w:val="1586FE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CEE70D2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BD4240"/>
    <w:multiLevelType w:val="hybridMultilevel"/>
    <w:tmpl w:val="8E2800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1AB38B8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2203B51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E23B5C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3626893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48F138F"/>
    <w:multiLevelType w:val="hybridMultilevel"/>
    <w:tmpl w:val="FFB0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E67C07"/>
    <w:multiLevelType w:val="hybridMultilevel"/>
    <w:tmpl w:val="CBDE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445F69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3440B4"/>
    <w:multiLevelType w:val="hybridMultilevel"/>
    <w:tmpl w:val="332226BA"/>
    <w:lvl w:ilvl="0" w:tplc="DF30CA5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24B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7E4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6E7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845E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6C1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F6A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EA4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EA6E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69302A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2D6F34"/>
    <w:multiLevelType w:val="hybridMultilevel"/>
    <w:tmpl w:val="B7D883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4B1E09A1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2542C7"/>
    <w:multiLevelType w:val="hybridMultilevel"/>
    <w:tmpl w:val="89089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A307A8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68744F8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AF41E23"/>
    <w:multiLevelType w:val="hybridMultilevel"/>
    <w:tmpl w:val="0C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744E80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35438B"/>
    <w:multiLevelType w:val="hybridMultilevel"/>
    <w:tmpl w:val="DAF463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CF601A"/>
    <w:multiLevelType w:val="hybridMultilevel"/>
    <w:tmpl w:val="1DCEB6F6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BB01323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624112"/>
    <w:multiLevelType w:val="hybridMultilevel"/>
    <w:tmpl w:val="0944C3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876651"/>
    <w:multiLevelType w:val="hybridMultilevel"/>
    <w:tmpl w:val="AD7CE184"/>
    <w:lvl w:ilvl="0" w:tplc="D7AA247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3606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702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3A1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4E9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44B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B4E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D63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646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C23750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45D5E63"/>
    <w:multiLevelType w:val="hybridMultilevel"/>
    <w:tmpl w:val="8E2800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96B5CCE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A846BBB"/>
    <w:multiLevelType w:val="hybridMultilevel"/>
    <w:tmpl w:val="E158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F00A13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D7D7FF8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4F3CF5"/>
    <w:multiLevelType w:val="hybridMultilevel"/>
    <w:tmpl w:val="9F98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F64385"/>
    <w:multiLevelType w:val="multilevel"/>
    <w:tmpl w:val="1BF4DE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6"/>
  </w:num>
  <w:num w:numId="2">
    <w:abstractNumId w:val="39"/>
  </w:num>
  <w:num w:numId="3">
    <w:abstractNumId w:val="41"/>
  </w:num>
  <w:num w:numId="4">
    <w:abstractNumId w:val="16"/>
  </w:num>
  <w:num w:numId="5">
    <w:abstractNumId w:val="46"/>
  </w:num>
  <w:num w:numId="6">
    <w:abstractNumId w:val="12"/>
  </w:num>
  <w:num w:numId="7">
    <w:abstractNumId w:val="24"/>
  </w:num>
  <w:num w:numId="8">
    <w:abstractNumId w:val="35"/>
  </w:num>
  <w:num w:numId="9">
    <w:abstractNumId w:val="15"/>
  </w:num>
  <w:num w:numId="10">
    <w:abstractNumId w:val="38"/>
  </w:num>
  <w:num w:numId="11">
    <w:abstractNumId w:val="14"/>
  </w:num>
  <w:num w:numId="12">
    <w:abstractNumId w:val="13"/>
  </w:num>
  <w:num w:numId="13">
    <w:abstractNumId w:val="33"/>
  </w:num>
  <w:num w:numId="14">
    <w:abstractNumId w:val="5"/>
  </w:num>
  <w:num w:numId="15">
    <w:abstractNumId w:val="23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1"/>
  </w:num>
  <w:num w:numId="21">
    <w:abstractNumId w:val="36"/>
  </w:num>
  <w:num w:numId="22">
    <w:abstractNumId w:val="11"/>
  </w:num>
  <w:num w:numId="23">
    <w:abstractNumId w:val="8"/>
  </w:num>
  <w:num w:numId="24">
    <w:abstractNumId w:val="34"/>
  </w:num>
  <w:num w:numId="25">
    <w:abstractNumId w:val="29"/>
  </w:num>
  <w:num w:numId="26">
    <w:abstractNumId w:val="20"/>
  </w:num>
  <w:num w:numId="27">
    <w:abstractNumId w:val="45"/>
  </w:num>
  <w:num w:numId="28">
    <w:abstractNumId w:val="3"/>
  </w:num>
  <w:num w:numId="29">
    <w:abstractNumId w:val="6"/>
  </w:num>
  <w:num w:numId="30">
    <w:abstractNumId w:val="47"/>
  </w:num>
  <w:num w:numId="31">
    <w:abstractNumId w:val="9"/>
  </w:num>
  <w:num w:numId="32">
    <w:abstractNumId w:val="10"/>
  </w:num>
  <w:num w:numId="33">
    <w:abstractNumId w:val="28"/>
  </w:num>
  <w:num w:numId="34">
    <w:abstractNumId w:val="21"/>
  </w:num>
  <w:num w:numId="35">
    <w:abstractNumId w:val="22"/>
  </w:num>
  <w:num w:numId="36">
    <w:abstractNumId w:val="44"/>
  </w:num>
  <w:num w:numId="37">
    <w:abstractNumId w:val="0"/>
  </w:num>
  <w:num w:numId="38">
    <w:abstractNumId w:val="31"/>
  </w:num>
  <w:num w:numId="39">
    <w:abstractNumId w:val="32"/>
  </w:num>
  <w:num w:numId="40">
    <w:abstractNumId w:val="42"/>
  </w:num>
  <w:num w:numId="41">
    <w:abstractNumId w:val="2"/>
  </w:num>
  <w:num w:numId="42">
    <w:abstractNumId w:val="40"/>
  </w:num>
  <w:num w:numId="43">
    <w:abstractNumId w:val="19"/>
  </w:num>
  <w:num w:numId="44">
    <w:abstractNumId w:val="4"/>
  </w:num>
  <w:num w:numId="45">
    <w:abstractNumId w:val="27"/>
  </w:num>
  <w:num w:numId="46">
    <w:abstractNumId w:val="25"/>
  </w:num>
  <w:num w:numId="47">
    <w:abstractNumId w:val="37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5F"/>
    <w:rsid w:val="00000B8F"/>
    <w:rsid w:val="0000510D"/>
    <w:rsid w:val="000063D4"/>
    <w:rsid w:val="00020FCC"/>
    <w:rsid w:val="0005579D"/>
    <w:rsid w:val="00073A9F"/>
    <w:rsid w:val="000A77A9"/>
    <w:rsid w:val="000B3706"/>
    <w:rsid w:val="000B5F61"/>
    <w:rsid w:val="000C23B5"/>
    <w:rsid w:val="00121EC4"/>
    <w:rsid w:val="00132FF2"/>
    <w:rsid w:val="00151D42"/>
    <w:rsid w:val="00155F79"/>
    <w:rsid w:val="0016220F"/>
    <w:rsid w:val="00165A7A"/>
    <w:rsid w:val="001727C1"/>
    <w:rsid w:val="001918D1"/>
    <w:rsid w:val="001B2C77"/>
    <w:rsid w:val="001B6ECB"/>
    <w:rsid w:val="001D38E4"/>
    <w:rsid w:val="001D73E3"/>
    <w:rsid w:val="001E5F9B"/>
    <w:rsid w:val="0020143F"/>
    <w:rsid w:val="00204B68"/>
    <w:rsid w:val="00204D31"/>
    <w:rsid w:val="002065B9"/>
    <w:rsid w:val="002119F3"/>
    <w:rsid w:val="00213A25"/>
    <w:rsid w:val="00215F7C"/>
    <w:rsid w:val="00216E9B"/>
    <w:rsid w:val="00220872"/>
    <w:rsid w:val="00232831"/>
    <w:rsid w:val="00242D60"/>
    <w:rsid w:val="0024654F"/>
    <w:rsid w:val="002818DA"/>
    <w:rsid w:val="00282E52"/>
    <w:rsid w:val="002939B3"/>
    <w:rsid w:val="00297E05"/>
    <w:rsid w:val="002B6A6F"/>
    <w:rsid w:val="002C7633"/>
    <w:rsid w:val="002D734C"/>
    <w:rsid w:val="002F085C"/>
    <w:rsid w:val="002F45E8"/>
    <w:rsid w:val="00300AF5"/>
    <w:rsid w:val="003306A0"/>
    <w:rsid w:val="00333915"/>
    <w:rsid w:val="00334119"/>
    <w:rsid w:val="0035375F"/>
    <w:rsid w:val="003663E7"/>
    <w:rsid w:val="0037126F"/>
    <w:rsid w:val="00374D2C"/>
    <w:rsid w:val="003770FF"/>
    <w:rsid w:val="00390376"/>
    <w:rsid w:val="00393509"/>
    <w:rsid w:val="003C5F34"/>
    <w:rsid w:val="003C70CF"/>
    <w:rsid w:val="003E22ED"/>
    <w:rsid w:val="003F02DD"/>
    <w:rsid w:val="004065DC"/>
    <w:rsid w:val="004123B7"/>
    <w:rsid w:val="00413D64"/>
    <w:rsid w:val="00422122"/>
    <w:rsid w:val="0045433D"/>
    <w:rsid w:val="00455974"/>
    <w:rsid w:val="00456908"/>
    <w:rsid w:val="00465DF9"/>
    <w:rsid w:val="00472D97"/>
    <w:rsid w:val="00490768"/>
    <w:rsid w:val="004A091F"/>
    <w:rsid w:val="004E18C4"/>
    <w:rsid w:val="004E2067"/>
    <w:rsid w:val="004E626A"/>
    <w:rsid w:val="004F167C"/>
    <w:rsid w:val="004F56D3"/>
    <w:rsid w:val="00503AE4"/>
    <w:rsid w:val="00511E20"/>
    <w:rsid w:val="00542396"/>
    <w:rsid w:val="00542C3E"/>
    <w:rsid w:val="005A0A95"/>
    <w:rsid w:val="005C30C5"/>
    <w:rsid w:val="00603F73"/>
    <w:rsid w:val="00604AD0"/>
    <w:rsid w:val="00622F0F"/>
    <w:rsid w:val="00633CD1"/>
    <w:rsid w:val="0064123D"/>
    <w:rsid w:val="006433E7"/>
    <w:rsid w:val="0064356C"/>
    <w:rsid w:val="00653198"/>
    <w:rsid w:val="006564AB"/>
    <w:rsid w:val="00657639"/>
    <w:rsid w:val="006660CC"/>
    <w:rsid w:val="00667835"/>
    <w:rsid w:val="006678EC"/>
    <w:rsid w:val="0067496D"/>
    <w:rsid w:val="00676CCD"/>
    <w:rsid w:val="006878AA"/>
    <w:rsid w:val="006907E4"/>
    <w:rsid w:val="006A2526"/>
    <w:rsid w:val="006A2DAD"/>
    <w:rsid w:val="006C1D92"/>
    <w:rsid w:val="006D6280"/>
    <w:rsid w:val="006E66BC"/>
    <w:rsid w:val="006F1859"/>
    <w:rsid w:val="00702D32"/>
    <w:rsid w:val="0070758B"/>
    <w:rsid w:val="00722572"/>
    <w:rsid w:val="00726C3F"/>
    <w:rsid w:val="00736926"/>
    <w:rsid w:val="00742AB7"/>
    <w:rsid w:val="007517DB"/>
    <w:rsid w:val="00754E5A"/>
    <w:rsid w:val="00756DFB"/>
    <w:rsid w:val="007613C6"/>
    <w:rsid w:val="00761840"/>
    <w:rsid w:val="00763BF1"/>
    <w:rsid w:val="007669FA"/>
    <w:rsid w:val="007713E5"/>
    <w:rsid w:val="007B0679"/>
    <w:rsid w:val="007C6D01"/>
    <w:rsid w:val="007E126E"/>
    <w:rsid w:val="007E4F18"/>
    <w:rsid w:val="007F4CB3"/>
    <w:rsid w:val="007F592D"/>
    <w:rsid w:val="008034F2"/>
    <w:rsid w:val="0081492F"/>
    <w:rsid w:val="008331C1"/>
    <w:rsid w:val="00866B40"/>
    <w:rsid w:val="00881572"/>
    <w:rsid w:val="008B3731"/>
    <w:rsid w:val="008B796E"/>
    <w:rsid w:val="008C1199"/>
    <w:rsid w:val="008C2579"/>
    <w:rsid w:val="008E2C63"/>
    <w:rsid w:val="008E3F40"/>
    <w:rsid w:val="00900146"/>
    <w:rsid w:val="0092269B"/>
    <w:rsid w:val="00935211"/>
    <w:rsid w:val="0093636D"/>
    <w:rsid w:val="009447C9"/>
    <w:rsid w:val="00945BC9"/>
    <w:rsid w:val="00976DB5"/>
    <w:rsid w:val="00997E68"/>
    <w:rsid w:val="009A35B2"/>
    <w:rsid w:val="009B07E2"/>
    <w:rsid w:val="009B148F"/>
    <w:rsid w:val="009C4269"/>
    <w:rsid w:val="009F145D"/>
    <w:rsid w:val="00A03D46"/>
    <w:rsid w:val="00A13CA3"/>
    <w:rsid w:val="00A16067"/>
    <w:rsid w:val="00A22056"/>
    <w:rsid w:val="00A319B1"/>
    <w:rsid w:val="00A31C42"/>
    <w:rsid w:val="00A44C38"/>
    <w:rsid w:val="00A5385A"/>
    <w:rsid w:val="00A6618D"/>
    <w:rsid w:val="00A66AFF"/>
    <w:rsid w:val="00A721AB"/>
    <w:rsid w:val="00A73F1F"/>
    <w:rsid w:val="00A76568"/>
    <w:rsid w:val="00A77DA7"/>
    <w:rsid w:val="00A81631"/>
    <w:rsid w:val="00A9765B"/>
    <w:rsid w:val="00AB06ED"/>
    <w:rsid w:val="00B034A1"/>
    <w:rsid w:val="00B12A5B"/>
    <w:rsid w:val="00B310D4"/>
    <w:rsid w:val="00B57E71"/>
    <w:rsid w:val="00B64021"/>
    <w:rsid w:val="00BB3EB1"/>
    <w:rsid w:val="00BB7A9B"/>
    <w:rsid w:val="00BC1408"/>
    <w:rsid w:val="00BC66B4"/>
    <w:rsid w:val="00BD7127"/>
    <w:rsid w:val="00BE1383"/>
    <w:rsid w:val="00C16C4F"/>
    <w:rsid w:val="00C31F3E"/>
    <w:rsid w:val="00C76E1A"/>
    <w:rsid w:val="00C818FC"/>
    <w:rsid w:val="00C856CF"/>
    <w:rsid w:val="00C9734A"/>
    <w:rsid w:val="00CB6ED0"/>
    <w:rsid w:val="00CC2ACE"/>
    <w:rsid w:val="00CD02DD"/>
    <w:rsid w:val="00CE56AE"/>
    <w:rsid w:val="00CE6783"/>
    <w:rsid w:val="00CF410A"/>
    <w:rsid w:val="00D02EC7"/>
    <w:rsid w:val="00D057EB"/>
    <w:rsid w:val="00D06F00"/>
    <w:rsid w:val="00D2052F"/>
    <w:rsid w:val="00D22C80"/>
    <w:rsid w:val="00D22D49"/>
    <w:rsid w:val="00D31D86"/>
    <w:rsid w:val="00D46F63"/>
    <w:rsid w:val="00D55049"/>
    <w:rsid w:val="00D74271"/>
    <w:rsid w:val="00D751AB"/>
    <w:rsid w:val="00D81653"/>
    <w:rsid w:val="00DA31FE"/>
    <w:rsid w:val="00DA4434"/>
    <w:rsid w:val="00DA75B4"/>
    <w:rsid w:val="00DB58EC"/>
    <w:rsid w:val="00DD7DE9"/>
    <w:rsid w:val="00DE0B59"/>
    <w:rsid w:val="00DE6FE4"/>
    <w:rsid w:val="00DF1254"/>
    <w:rsid w:val="00DF47E0"/>
    <w:rsid w:val="00E170B3"/>
    <w:rsid w:val="00E17EF7"/>
    <w:rsid w:val="00E45D32"/>
    <w:rsid w:val="00E6673B"/>
    <w:rsid w:val="00E72183"/>
    <w:rsid w:val="00E763A8"/>
    <w:rsid w:val="00E8281B"/>
    <w:rsid w:val="00E831E1"/>
    <w:rsid w:val="00E86995"/>
    <w:rsid w:val="00E92173"/>
    <w:rsid w:val="00EC4B38"/>
    <w:rsid w:val="00ED47E7"/>
    <w:rsid w:val="00EF6B8A"/>
    <w:rsid w:val="00F05036"/>
    <w:rsid w:val="00F06459"/>
    <w:rsid w:val="00F07066"/>
    <w:rsid w:val="00F15A8B"/>
    <w:rsid w:val="00F16AE0"/>
    <w:rsid w:val="00F31229"/>
    <w:rsid w:val="00F35CCC"/>
    <w:rsid w:val="00F41E31"/>
    <w:rsid w:val="00F42744"/>
    <w:rsid w:val="00F61E19"/>
    <w:rsid w:val="00F83FD5"/>
    <w:rsid w:val="00F93BCB"/>
    <w:rsid w:val="00F944A8"/>
    <w:rsid w:val="00F96423"/>
    <w:rsid w:val="00FB04ED"/>
    <w:rsid w:val="00FB46E9"/>
    <w:rsid w:val="00FC66E7"/>
    <w:rsid w:val="00FD2765"/>
    <w:rsid w:val="00FE1B4C"/>
    <w:rsid w:val="00FE6ABF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3B0868-C475-48B4-991E-AA55E124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5F"/>
    <w:pPr>
      <w:widowControl w:val="0"/>
    </w:pPr>
    <w:rPr>
      <w:rFonts w:ascii="Lucida Console" w:hAnsi="Lucida Console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35375F"/>
    <w:pPr>
      <w:keepNext/>
      <w:spacing w:line="360" w:lineRule="auto"/>
      <w:jc w:val="both"/>
      <w:outlineLvl w:val="0"/>
    </w:pPr>
    <w:rPr>
      <w:rFonts w:ascii="CG Times" w:hAnsi="CG Times"/>
      <w:b/>
      <w:sz w:val="20"/>
      <w:lang w:val="es-ES_tradnl" w:eastAsia="ru-RU"/>
    </w:rPr>
  </w:style>
  <w:style w:type="paragraph" w:styleId="Heading2">
    <w:name w:val="heading 2"/>
    <w:basedOn w:val="Normal"/>
    <w:next w:val="Normal"/>
    <w:link w:val="Heading2Char"/>
    <w:qFormat/>
    <w:rsid w:val="0035375F"/>
    <w:pPr>
      <w:keepNext/>
      <w:tabs>
        <w:tab w:val="center" w:pos="4680"/>
      </w:tabs>
      <w:spacing w:line="360" w:lineRule="auto"/>
      <w:jc w:val="center"/>
      <w:outlineLvl w:val="1"/>
    </w:pPr>
    <w:rPr>
      <w:rFonts w:ascii="CG Times" w:hAnsi="CG Times"/>
      <w:b/>
      <w:sz w:val="20"/>
      <w:lang w:val="es-ES_tradnl" w:eastAsia="ru-RU"/>
    </w:rPr>
  </w:style>
  <w:style w:type="paragraph" w:styleId="Heading3">
    <w:name w:val="heading 3"/>
    <w:basedOn w:val="Normal"/>
    <w:next w:val="Normal"/>
    <w:link w:val="Heading3Char"/>
    <w:qFormat/>
    <w:rsid w:val="0035375F"/>
    <w:pPr>
      <w:keepNext/>
      <w:jc w:val="center"/>
      <w:outlineLvl w:val="2"/>
    </w:pPr>
    <w:rPr>
      <w:rFonts w:ascii="CG Times" w:hAnsi="CG Times"/>
      <w:b/>
      <w:i/>
      <w:color w:val="FF0000"/>
      <w:sz w:val="20"/>
      <w:lang w:val="es-ES_tradnl" w:eastAsia="ru-RU"/>
    </w:rPr>
  </w:style>
  <w:style w:type="paragraph" w:styleId="Heading4">
    <w:name w:val="heading 4"/>
    <w:basedOn w:val="Normal"/>
    <w:next w:val="Normal"/>
    <w:link w:val="Heading4Char"/>
    <w:qFormat/>
    <w:rsid w:val="0035375F"/>
    <w:pPr>
      <w:keepNext/>
      <w:spacing w:line="360" w:lineRule="auto"/>
      <w:ind w:firstLine="720"/>
      <w:jc w:val="both"/>
      <w:outlineLvl w:val="3"/>
    </w:pPr>
    <w:rPr>
      <w:rFonts w:ascii="CG Times" w:hAnsi="CG Times"/>
      <w:b/>
      <w:sz w:val="20"/>
      <w:lang w:val="es-ES_tradnl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35375F"/>
    <w:rPr>
      <w:rFonts w:ascii="CG Times" w:hAnsi="CG Times"/>
      <w:b/>
      <w:snapToGrid w:val="0"/>
      <w:sz w:val="20"/>
      <w:lang w:val="es-ES_tradnl" w:eastAsia="x-none"/>
    </w:rPr>
  </w:style>
  <w:style w:type="character" w:customStyle="1" w:styleId="Heading2Char">
    <w:name w:val="Heading 2 Char"/>
    <w:link w:val="Heading2"/>
    <w:locked/>
    <w:rsid w:val="0035375F"/>
    <w:rPr>
      <w:rFonts w:ascii="CG Times" w:hAnsi="CG Times"/>
      <w:b/>
      <w:snapToGrid w:val="0"/>
      <w:sz w:val="20"/>
      <w:lang w:val="es-ES_tradnl" w:eastAsia="x-none"/>
    </w:rPr>
  </w:style>
  <w:style w:type="character" w:customStyle="1" w:styleId="Heading3Char">
    <w:name w:val="Heading 3 Char"/>
    <w:link w:val="Heading3"/>
    <w:locked/>
    <w:rsid w:val="0035375F"/>
    <w:rPr>
      <w:rFonts w:ascii="CG Times" w:hAnsi="CG Times"/>
      <w:b/>
      <w:i/>
      <w:snapToGrid w:val="0"/>
      <w:color w:val="FF0000"/>
      <w:sz w:val="20"/>
      <w:lang w:val="es-ES_tradnl" w:eastAsia="x-none"/>
    </w:rPr>
  </w:style>
  <w:style w:type="character" w:customStyle="1" w:styleId="Heading4Char">
    <w:name w:val="Heading 4 Char"/>
    <w:link w:val="Heading4"/>
    <w:locked/>
    <w:rsid w:val="0035375F"/>
    <w:rPr>
      <w:rFonts w:ascii="CG Times" w:hAnsi="CG Times"/>
      <w:b/>
      <w:snapToGrid w:val="0"/>
      <w:sz w:val="20"/>
      <w:lang w:val="es-ES_tradnl" w:eastAsia="x-none"/>
    </w:rPr>
  </w:style>
  <w:style w:type="paragraph" w:styleId="BodyText">
    <w:name w:val="Body Text"/>
    <w:basedOn w:val="Normal"/>
    <w:link w:val="BodyTextChar"/>
    <w:rsid w:val="0035375F"/>
    <w:pPr>
      <w:spacing w:line="360" w:lineRule="auto"/>
      <w:jc w:val="both"/>
    </w:pPr>
    <w:rPr>
      <w:rFonts w:ascii="CG Times" w:hAnsi="CG Times"/>
      <w:sz w:val="20"/>
      <w:lang w:val="es-ES_tradnl" w:eastAsia="ru-RU"/>
    </w:rPr>
  </w:style>
  <w:style w:type="character" w:customStyle="1" w:styleId="BodyTextChar">
    <w:name w:val="Body Text Char"/>
    <w:link w:val="BodyText"/>
    <w:locked/>
    <w:rsid w:val="0035375F"/>
    <w:rPr>
      <w:rFonts w:ascii="CG Times" w:hAnsi="CG Times"/>
      <w:snapToGrid w:val="0"/>
      <w:sz w:val="20"/>
      <w:lang w:val="es-ES_tradnl" w:eastAsia="x-none"/>
    </w:rPr>
  </w:style>
  <w:style w:type="paragraph" w:styleId="BodyTextIndent">
    <w:name w:val="Body Text Indent"/>
    <w:basedOn w:val="Normal"/>
    <w:link w:val="BodyTextIndentChar"/>
    <w:rsid w:val="0035375F"/>
    <w:pPr>
      <w:spacing w:line="360" w:lineRule="auto"/>
      <w:ind w:firstLine="720"/>
      <w:jc w:val="both"/>
    </w:pPr>
    <w:rPr>
      <w:rFonts w:ascii="CG Times" w:hAnsi="CG Times"/>
      <w:sz w:val="20"/>
      <w:lang w:val="es-ES_tradnl" w:eastAsia="ru-RU"/>
    </w:rPr>
  </w:style>
  <w:style w:type="character" w:customStyle="1" w:styleId="BodyTextIndentChar">
    <w:name w:val="Body Text Indent Char"/>
    <w:link w:val="BodyTextIndent"/>
    <w:locked/>
    <w:rsid w:val="0035375F"/>
    <w:rPr>
      <w:rFonts w:ascii="CG Times" w:hAnsi="CG Times"/>
      <w:snapToGrid w:val="0"/>
      <w:sz w:val="20"/>
      <w:lang w:val="es-ES_tradnl" w:eastAsia="x-none"/>
    </w:rPr>
  </w:style>
  <w:style w:type="paragraph" w:styleId="BodyTextIndent2">
    <w:name w:val="Body Text Indent 2"/>
    <w:basedOn w:val="Normal"/>
    <w:link w:val="BodyTextIndent2Char"/>
    <w:rsid w:val="0035375F"/>
    <w:pPr>
      <w:tabs>
        <w:tab w:val="left" w:pos="-1440"/>
      </w:tabs>
      <w:spacing w:line="360" w:lineRule="auto"/>
      <w:ind w:left="720" w:hanging="720"/>
      <w:jc w:val="both"/>
    </w:pPr>
    <w:rPr>
      <w:rFonts w:ascii="CG Times" w:hAnsi="CG Times"/>
      <w:sz w:val="20"/>
      <w:lang w:val="es-ES_tradnl" w:eastAsia="ru-RU"/>
    </w:rPr>
  </w:style>
  <w:style w:type="character" w:customStyle="1" w:styleId="BodyTextIndent2Char">
    <w:name w:val="Body Text Indent 2 Char"/>
    <w:link w:val="BodyTextIndent2"/>
    <w:locked/>
    <w:rsid w:val="0035375F"/>
    <w:rPr>
      <w:rFonts w:ascii="CG Times" w:hAnsi="CG Times"/>
      <w:snapToGrid w:val="0"/>
      <w:sz w:val="20"/>
      <w:lang w:val="es-ES_tradnl" w:eastAsia="x-none"/>
    </w:rPr>
  </w:style>
  <w:style w:type="character" w:styleId="CommentReference">
    <w:name w:val="annotation reference"/>
    <w:basedOn w:val="DefaultParagraphFont"/>
    <w:semiHidden/>
    <w:rsid w:val="0035375F"/>
    <w:rPr>
      <w:sz w:val="16"/>
    </w:rPr>
  </w:style>
  <w:style w:type="paragraph" w:styleId="CommentText">
    <w:name w:val="annotation text"/>
    <w:basedOn w:val="Normal"/>
    <w:link w:val="CommentTextChar"/>
    <w:semiHidden/>
    <w:rsid w:val="0035375F"/>
    <w:rPr>
      <w:sz w:val="20"/>
      <w:lang w:val="ru-RU" w:eastAsia="ru-RU"/>
    </w:rPr>
  </w:style>
  <w:style w:type="character" w:customStyle="1" w:styleId="CommentTextChar">
    <w:name w:val="Comment Text Char"/>
    <w:link w:val="CommentText"/>
    <w:semiHidden/>
    <w:locked/>
    <w:rsid w:val="0035375F"/>
    <w:rPr>
      <w:rFonts w:ascii="Lucida Console" w:hAnsi="Lucida Console"/>
      <w:snapToGrid w:val="0"/>
      <w:sz w:val="20"/>
    </w:rPr>
  </w:style>
  <w:style w:type="paragraph" w:customStyle="1" w:styleId="1">
    <w:name w:val="Абзац списка1"/>
    <w:basedOn w:val="Normal"/>
    <w:rsid w:val="0035375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5375F"/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35375F"/>
    <w:rPr>
      <w:rFonts w:ascii="Tahoma" w:hAnsi="Tahoma"/>
      <w:snapToGrid w:val="0"/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5375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5375F"/>
    <w:rPr>
      <w:rFonts w:ascii="Lucida Console" w:hAnsi="Lucida Console"/>
      <w:b/>
      <w:snapToGrid w:val="0"/>
      <w:sz w:val="20"/>
    </w:rPr>
  </w:style>
  <w:style w:type="paragraph" w:styleId="Header">
    <w:name w:val="header"/>
    <w:basedOn w:val="Normal"/>
    <w:link w:val="HeaderChar"/>
    <w:rsid w:val="0035375F"/>
    <w:pPr>
      <w:tabs>
        <w:tab w:val="center" w:pos="4680"/>
        <w:tab w:val="right" w:pos="9360"/>
      </w:tabs>
    </w:pPr>
    <w:rPr>
      <w:sz w:val="20"/>
      <w:lang w:val="ru-RU" w:eastAsia="ru-RU"/>
    </w:rPr>
  </w:style>
  <w:style w:type="character" w:customStyle="1" w:styleId="HeaderChar">
    <w:name w:val="Header Char"/>
    <w:link w:val="Header"/>
    <w:locked/>
    <w:rsid w:val="0035375F"/>
    <w:rPr>
      <w:rFonts w:ascii="Lucida Console" w:hAnsi="Lucida Console"/>
      <w:snapToGrid w:val="0"/>
      <w:sz w:val="20"/>
    </w:rPr>
  </w:style>
  <w:style w:type="paragraph" w:styleId="Footer">
    <w:name w:val="footer"/>
    <w:basedOn w:val="Normal"/>
    <w:link w:val="FooterChar1"/>
    <w:rsid w:val="0035375F"/>
    <w:pPr>
      <w:tabs>
        <w:tab w:val="center" w:pos="4680"/>
        <w:tab w:val="right" w:pos="9360"/>
      </w:tabs>
    </w:pPr>
    <w:rPr>
      <w:sz w:val="20"/>
      <w:lang w:val="ru-RU" w:eastAsia="ru-RU"/>
    </w:rPr>
  </w:style>
  <w:style w:type="character" w:customStyle="1" w:styleId="FooterChar1">
    <w:name w:val="Footer Char1"/>
    <w:link w:val="Footer"/>
    <w:locked/>
    <w:rsid w:val="0035375F"/>
    <w:rPr>
      <w:rFonts w:ascii="Lucida Console" w:hAnsi="Lucida Console"/>
      <w:snapToGrid w:val="0"/>
      <w:sz w:val="20"/>
    </w:rPr>
  </w:style>
  <w:style w:type="character" w:customStyle="1" w:styleId="11">
    <w:name w:val="Знак Знак11"/>
    <w:locked/>
    <w:rsid w:val="006678EC"/>
    <w:rPr>
      <w:rFonts w:ascii="CG Times" w:hAnsi="CG Times"/>
      <w:b/>
      <w:snapToGrid w:val="0"/>
      <w:sz w:val="20"/>
      <w:lang w:val="es-ES_tradnl" w:eastAsia="x-none"/>
    </w:rPr>
  </w:style>
  <w:style w:type="character" w:customStyle="1" w:styleId="Heading1Char">
    <w:name w:val="Heading 1 Char"/>
    <w:locked/>
    <w:rsid w:val="0045433D"/>
    <w:rPr>
      <w:rFonts w:ascii="CG Times" w:hAnsi="CG Times"/>
      <w:b/>
      <w:snapToGrid w:val="0"/>
      <w:sz w:val="20"/>
      <w:lang w:val="es-ES_tradnl" w:eastAsia="x-none"/>
    </w:rPr>
  </w:style>
  <w:style w:type="character" w:customStyle="1" w:styleId="FooterChar">
    <w:name w:val="Footer Char"/>
    <w:basedOn w:val="DefaultParagraphFont"/>
    <w:locked/>
    <w:rsid w:val="000063D4"/>
    <w:rPr>
      <w:rFonts w:ascii="Lucida Console" w:hAnsi="Lucida Consol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UNICEF</Company>
  <LinksUpToDate>false</LinksUpToDate>
  <CharactersWithSpaces>19306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UNICEF</dc:creator>
  <cp:keywords>MICS;MICS5</cp:keywords>
  <cp:lastModifiedBy>RO</cp:lastModifiedBy>
  <cp:revision>5</cp:revision>
  <dcterms:created xsi:type="dcterms:W3CDTF">2017-05-31T12:49:00Z</dcterms:created>
  <dcterms:modified xsi:type="dcterms:W3CDTF">2017-05-31T14:54:00Z</dcterms:modified>
</cp:coreProperties>
</file>