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488"/>
      </w:tblGrid>
      <w:tr w:rsidR="00C41771" w:rsidRPr="00966BB8" w:rsidTr="00C41771">
        <w:tc>
          <w:tcPr>
            <w:tcW w:w="2808" w:type="dxa"/>
          </w:tcPr>
          <w:p w:rsidR="00C41771" w:rsidRDefault="00C41771" w:rsidP="00C41771">
            <w:pPr>
              <w:pStyle w:val="1H"/>
              <w:rPr>
                <w:bCs/>
                <w:sz w:val="32"/>
                <w:szCs w:val="22"/>
              </w:rPr>
            </w:pPr>
            <w:r>
              <w:rPr>
                <w:bCs/>
                <w:noProof/>
                <w:snapToGrid/>
                <w:sz w:val="32"/>
                <w:szCs w:val="22"/>
                <w:lang w:val="en-US" w:eastAsia="en-US"/>
              </w:rPr>
              <w:drawing>
                <wp:inline distT="0" distB="0" distL="0" distR="0" wp14:anchorId="0AFB1922" wp14:editId="5DFFE07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vAlign w:val="bottom"/>
          </w:tcPr>
          <w:p w:rsidR="00C41771" w:rsidRDefault="00C41771" w:rsidP="00C41771">
            <w:pPr>
              <w:pStyle w:val="1H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Multiple Indicator Cluster Surveys – Round 4</w:t>
            </w:r>
          </w:p>
          <w:p w:rsidR="00C41771" w:rsidRPr="00E2496A" w:rsidRDefault="00C41771" w:rsidP="00966BB8">
            <w:pPr>
              <w:pStyle w:val="1H"/>
              <w:rPr>
                <w:bCs/>
                <w:sz w:val="32"/>
                <w:szCs w:val="22"/>
                <w:lang w:val="fr-FR"/>
              </w:rPr>
            </w:pPr>
            <w:r w:rsidRPr="00E2496A">
              <w:rPr>
                <w:bCs/>
                <w:sz w:val="32"/>
                <w:szCs w:val="22"/>
                <w:lang w:val="fr-FR"/>
              </w:rPr>
              <w:t>Fl</w:t>
            </w:r>
            <w:r w:rsidR="00E2496A" w:rsidRPr="00E2496A">
              <w:rPr>
                <w:bCs/>
                <w:sz w:val="32"/>
                <w:szCs w:val="22"/>
                <w:lang w:val="fr-FR"/>
              </w:rPr>
              <w:t xml:space="preserve">ux des questionnaires </w:t>
            </w:r>
            <w:proofErr w:type="spellStart"/>
            <w:r w:rsidR="00E2496A" w:rsidRPr="00E2496A">
              <w:rPr>
                <w:bCs/>
                <w:sz w:val="32"/>
                <w:szCs w:val="22"/>
                <w:lang w:val="fr-FR"/>
              </w:rPr>
              <w:t>modeles</w:t>
            </w:r>
            <w:proofErr w:type="spellEnd"/>
            <w:r w:rsidRPr="00E2496A">
              <w:rPr>
                <w:bCs/>
                <w:sz w:val="32"/>
                <w:szCs w:val="22"/>
                <w:lang w:val="fr-FR"/>
              </w:rPr>
              <w:t xml:space="preserve"> v3.0</w:t>
            </w:r>
          </w:p>
        </w:tc>
      </w:tr>
    </w:tbl>
    <w:p w:rsidR="007E1675" w:rsidRPr="00966BB8" w:rsidRDefault="007E1675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16"/>
          <w:lang w:val="fr-FR"/>
        </w:rPr>
      </w:pPr>
    </w:p>
    <w:p w:rsidR="00C41771" w:rsidRPr="00E2496A" w:rsidRDefault="007E1675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Le</w:t>
      </w:r>
      <w:r w:rsidR="00E2496A"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quatrième round de </w:t>
      </w:r>
      <w:r w:rsidR="00EC1F2E"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MICS inclu</w:t>
      </w:r>
      <w:r w:rsidR="00E2496A"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t quatr</w:t>
      </w:r>
      <w:r w:rsid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e questionnaires modèles </w:t>
      </w:r>
      <w:r w:rsidR="00EC1F2E"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: </w:t>
      </w:r>
    </w:p>
    <w:p w:rsidR="00C41771" w:rsidRPr="00E2496A" w:rsidRDefault="00BF61F2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(1)</w:t>
      </w:r>
      <w:r w:rsid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</w:t>
      </w:r>
      <w:r w:rsidR="00E2496A"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Le questionnaire Ménage</w:t>
      </w:r>
      <w:r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, </w:t>
      </w:r>
    </w:p>
    <w:p w:rsidR="00C41771" w:rsidRPr="00E2496A" w:rsidRDefault="00BF61F2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(2) </w:t>
      </w:r>
      <w:r w:rsidR="00E2496A"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L</w:t>
      </w:r>
      <w:r w:rsid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e</w:t>
      </w:r>
      <w:r w:rsidR="00E2496A"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questionnaire Individuel Femm</w:t>
      </w:r>
      <w:r w:rsid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es</w:t>
      </w:r>
      <w:r w:rsidR="00EC1F2E"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, </w:t>
      </w:r>
    </w:p>
    <w:p w:rsidR="00C41771" w:rsidRPr="00E2496A" w:rsidRDefault="00EC1F2E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(3</w:t>
      </w:r>
      <w:r w:rsidR="00E2496A"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L</w:t>
      </w:r>
      <w:r w:rsid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e</w:t>
      </w:r>
      <w:r w:rsidR="00E2496A"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questionnaire</w:t>
      </w:r>
      <w:r w:rsid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Individuel Ho</w:t>
      </w:r>
      <w:r w:rsidR="00E2496A"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mm</w:t>
      </w:r>
      <w:r w:rsid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es et</w:t>
      </w:r>
    </w:p>
    <w:p w:rsidR="00BF61F2" w:rsidRPr="00E2496A" w:rsidRDefault="00BF61F2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(</w:t>
      </w:r>
      <w:r w:rsidR="00EC1F2E"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4</w:t>
      </w:r>
      <w:r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) </w:t>
      </w:r>
      <w:r w:rsidR="00E2496A"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Le q</w:t>
      </w:r>
      <w:r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uestionnaire </w:t>
      </w:r>
      <w:r w:rsidR="00E2496A"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pour enfants de moins de 5 ans</w:t>
      </w:r>
      <w:r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. </w:t>
      </w:r>
    </w:p>
    <w:p w:rsidR="00EC1F2E" w:rsidRPr="00966BB8" w:rsidRDefault="00EC1F2E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16"/>
          <w:lang w:val="fr-FR"/>
        </w:rPr>
      </w:pPr>
    </w:p>
    <w:p w:rsidR="00EC1F2E" w:rsidRDefault="00E2496A" w:rsidP="00EC1F2E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 w:rsidRPr="00E2496A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La nature flexible et modulaire des questionnaires de MICS rend facile le retrait de modules qui ne seraient pas </w:t>
      </w:r>
      <w:r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pertinents ou de modules pour lesquels il existe déjà d</w:t>
      </w:r>
      <w:r w:rsidR="005D68E2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e</w:t>
      </w:r>
      <w:r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s informations de bonne qualité provenant d’autres sources. </w:t>
      </w:r>
    </w:p>
    <w:p w:rsidR="00E2496A" w:rsidRPr="00966BB8" w:rsidRDefault="00E2496A" w:rsidP="00EC1F2E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16"/>
          <w:lang w:val="fr-FR"/>
        </w:rPr>
      </w:pPr>
    </w:p>
    <w:p w:rsidR="00C41771" w:rsidRPr="00966BB8" w:rsidRDefault="005D68E2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fr-FR"/>
        </w:rPr>
      </w:pPr>
      <w:r w:rsidRPr="005D68E2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Le tableau ci-dessous montre le flux des </w:t>
      </w:r>
      <w:r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4 questionnaires de MICS4 par modules. </w:t>
      </w:r>
      <w:r w:rsidRPr="005D68E2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Se référer au chapitre </w:t>
      </w:r>
      <w:r w:rsidR="00366370" w:rsidRPr="005D68E2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I.</w:t>
      </w:r>
      <w:r w:rsidR="00E57BFD" w:rsidRPr="005D68E2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3 </w:t>
      </w:r>
      <w:r w:rsidRPr="005D68E2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de manuel de MICS4 pour des informations d</w:t>
      </w:r>
      <w:r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étaillées sur le flux des questionnaires et sur le contenu des modules.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790"/>
        <w:gridCol w:w="2278"/>
        <w:gridCol w:w="2438"/>
      </w:tblGrid>
      <w:tr w:rsidR="002F3007" w:rsidRPr="002F3007" w:rsidTr="00EB72AD">
        <w:trPr>
          <w:jc w:val="center"/>
        </w:trPr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43E3E" w:rsidRDefault="00743E3E" w:rsidP="00201EB8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>Questionnaire</w:t>
            </w:r>
          </w:p>
          <w:p w:rsidR="005D68E2" w:rsidRPr="002F3007" w:rsidRDefault="005D68E2" w:rsidP="00201EB8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>menage</w:t>
            </w:r>
            <w:proofErr w:type="spellEnd"/>
          </w:p>
        </w:tc>
        <w:tc>
          <w:tcPr>
            <w:tcW w:w="27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43E3E" w:rsidRPr="002F3007" w:rsidRDefault="00743E3E" w:rsidP="005D68E2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 xml:space="preserve">Questionnaire </w:t>
            </w:r>
            <w:proofErr w:type="spellStart"/>
            <w:r w:rsidR="005D68E2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>Individuel</w:t>
            </w:r>
            <w:proofErr w:type="spellEnd"/>
            <w:r w:rsidR="005D68E2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 xml:space="preserve"> femmes</w:t>
            </w:r>
          </w:p>
        </w:tc>
        <w:tc>
          <w:tcPr>
            <w:tcW w:w="2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43E3E" w:rsidRPr="005D68E2" w:rsidRDefault="00743E3E" w:rsidP="005D68E2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</w:pPr>
            <w:r w:rsidRPr="005D68E2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  <w:t xml:space="preserve">Questionnaire </w:t>
            </w:r>
            <w:r w:rsidR="005D68E2" w:rsidRPr="005D68E2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  <w:t>en</w:t>
            </w:r>
            <w:r w:rsidR="005D68E2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  <w:t>fan</w:t>
            </w:r>
            <w:r w:rsidR="005D68E2" w:rsidRPr="005D68E2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fr-FR"/>
              </w:rPr>
              <w:t>t de moins de 5 ans</w:t>
            </w:r>
          </w:p>
        </w:tc>
        <w:tc>
          <w:tcPr>
            <w:tcW w:w="243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43E3E" w:rsidRPr="002F3007" w:rsidRDefault="00743E3E" w:rsidP="005D68E2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 xml:space="preserve">Questionnaire </w:t>
            </w:r>
            <w:proofErr w:type="spellStart"/>
            <w:r w:rsidR="005D68E2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>individuel</w:t>
            </w:r>
            <w:proofErr w:type="spellEnd"/>
            <w:r w:rsidR="005D68E2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D68E2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>homme</w:t>
            </w:r>
            <w:proofErr w:type="spellEnd"/>
          </w:p>
        </w:tc>
      </w:tr>
      <w:tr w:rsidR="00EB72AD" w:rsidRPr="002F3007" w:rsidTr="00EB72AD">
        <w:trPr>
          <w:jc w:val="center"/>
        </w:trPr>
        <w:tc>
          <w:tcPr>
            <w:tcW w:w="2268" w:type="dxa"/>
            <w:tcBorders>
              <w:top w:val="single" w:sz="4" w:space="0" w:color="4F81BD" w:themeColor="accent1"/>
            </w:tcBorders>
          </w:tcPr>
          <w:p w:rsidR="00EB72AD" w:rsidRPr="005D68E2" w:rsidRDefault="00EB72AD" w:rsidP="006D1025">
            <w:pPr>
              <w:pStyle w:val="1H"/>
              <w:numPr>
                <w:ilvl w:val="0"/>
                <w:numId w:val="12"/>
              </w:numPr>
              <w:tabs>
                <w:tab w:val="left" w:pos="135"/>
              </w:tabs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P</w:t>
            </w:r>
            <w:r w:rsidRPr="005D68E2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anneau d’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i</w:t>
            </w:r>
            <w:r w:rsidRPr="005D68E2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nformation sur le </w:t>
            </w:r>
            <w:proofErr w:type="spellStart"/>
            <w:r w:rsidRPr="005D68E2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menage</w:t>
            </w:r>
            <w:proofErr w:type="spellEnd"/>
          </w:p>
          <w:p w:rsidR="00EB72AD" w:rsidRPr="005D68E2" w:rsidRDefault="00EB72AD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5D68E2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Liste des membres du </w:t>
            </w:r>
            <w:proofErr w:type="spellStart"/>
            <w:r w:rsidRPr="005D68E2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menage</w:t>
            </w:r>
            <w:proofErr w:type="spellEnd"/>
          </w:p>
          <w:p w:rsidR="00EB72AD" w:rsidRPr="002F3007" w:rsidRDefault="00EB72AD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Education</w:t>
            </w:r>
          </w:p>
          <w:p w:rsidR="00EB72AD" w:rsidRPr="002F3007" w:rsidRDefault="00EB72AD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Eau et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assainissement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EB72AD" w:rsidRPr="002F3007" w:rsidRDefault="00EB72AD" w:rsidP="00BA7954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Caracteristiques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menage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EB72AD" w:rsidRPr="002F3007" w:rsidRDefault="00EB72AD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Moustiquaires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impregnees</w:t>
            </w:r>
            <w:proofErr w:type="spellEnd"/>
          </w:p>
          <w:p w:rsidR="00EB72AD" w:rsidRPr="002F3007" w:rsidRDefault="00EB72AD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Pulverisation intra-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domiciliaire</w:t>
            </w:r>
            <w:proofErr w:type="spellEnd"/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EB72AD" w:rsidRPr="002F3007" w:rsidRDefault="00EB72AD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Travail des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enfants</w:t>
            </w:r>
            <w:proofErr w:type="spellEnd"/>
          </w:p>
          <w:p w:rsidR="00EB72AD" w:rsidRPr="002F3007" w:rsidRDefault="00EB72AD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Discipline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enfants</w:t>
            </w:r>
            <w:proofErr w:type="spellEnd"/>
          </w:p>
          <w:p w:rsidR="00EB72AD" w:rsidRPr="002F3007" w:rsidRDefault="00EB72AD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Lavage des mains</w:t>
            </w:r>
          </w:p>
          <w:p w:rsidR="00EB72AD" w:rsidRPr="002F3007" w:rsidRDefault="00EB72AD" w:rsidP="00201EB8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Sel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iode</w:t>
            </w:r>
            <w:proofErr w:type="spellEnd"/>
          </w:p>
          <w:p w:rsidR="00EB72AD" w:rsidRPr="002F3007" w:rsidRDefault="00EB72AD" w:rsidP="00201EB8">
            <w:pPr>
              <w:pStyle w:val="1H"/>
              <w:ind w:hanging="360"/>
              <w:jc w:val="bot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4F81BD" w:themeColor="accent1"/>
            </w:tcBorders>
          </w:tcPr>
          <w:p w:rsidR="00EB72AD" w:rsidRPr="006D1025" w:rsidRDefault="00EB72AD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P</w:t>
            </w:r>
            <w:r w:rsidRPr="005D68E2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anneau d’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i</w:t>
            </w:r>
            <w:r w:rsidRPr="005D68E2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nformation sur 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la femme</w:t>
            </w:r>
          </w:p>
          <w:p w:rsidR="00EB72AD" w:rsidRPr="006D1025" w:rsidRDefault="007E1675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Caractéristiques</w:t>
            </w:r>
            <w:r w:rsidR="00EB72AD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de la femme</w:t>
            </w:r>
          </w:p>
          <w:p w:rsidR="00EB72AD" w:rsidRPr="006D1025" w:rsidRDefault="00EB72AD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6D102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Access au Mass Media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6D102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et utilisation des techn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o</w:t>
            </w:r>
            <w:r w:rsidRPr="006D102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logies d’information et d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e</w:t>
            </w:r>
            <w:r w:rsidRPr="006D102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communication</w:t>
            </w:r>
          </w:p>
          <w:p w:rsidR="00EB72AD" w:rsidRPr="006D1025" w:rsidRDefault="007E1675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6D102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Mortalité</w:t>
            </w:r>
            <w:r w:rsidR="00EB72AD" w:rsidRPr="006D102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des enfa</w:t>
            </w:r>
            <w:r w:rsidR="00EB72AD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n</w:t>
            </w:r>
            <w:r w:rsidR="00EB72AD" w:rsidRPr="006D102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ts (avec ou sans historique des naissances)</w:t>
            </w:r>
          </w:p>
          <w:p w:rsidR="00EB72AD" w:rsidRPr="002F3007" w:rsidRDefault="00EB72AD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87F3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Desir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d</w:t>
            </w: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e 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derniere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naissance</w:t>
            </w:r>
          </w:p>
          <w:p w:rsidR="00EB72AD" w:rsidRPr="006D1025" w:rsidRDefault="00EB72AD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6D102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Sante maternelle et du </w:t>
            </w:r>
            <w:proofErr w:type="spellStart"/>
            <w:r w:rsidRPr="006D102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nouveau-ne</w:t>
            </w:r>
            <w:proofErr w:type="spellEnd"/>
          </w:p>
          <w:p w:rsidR="00EB72AD" w:rsidRPr="002F3007" w:rsidRDefault="00087F37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E</w:t>
            </w:r>
            <w:r w:rsidR="00EB72AD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xamens</w:t>
            </w:r>
            <w:proofErr w:type="spellEnd"/>
            <w:r w:rsidR="00EB72AD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post-</w:t>
            </w:r>
            <w:proofErr w:type="spellStart"/>
            <w:r w:rsidR="00EB72AD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natals</w:t>
            </w:r>
            <w:proofErr w:type="spellEnd"/>
          </w:p>
          <w:p w:rsidR="00EB72AD" w:rsidRPr="002F3007" w:rsidRDefault="00EB72AD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Symptom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e</w:t>
            </w: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s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des maladies</w:t>
            </w:r>
          </w:p>
          <w:p w:rsidR="00EB72AD" w:rsidRPr="002F3007" w:rsidRDefault="00EB72AD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Contraception</w:t>
            </w:r>
          </w:p>
          <w:p w:rsidR="00EB72AD" w:rsidRPr="002F3007" w:rsidRDefault="00EB72AD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Besoins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non-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satisfaits</w:t>
            </w:r>
            <w:proofErr w:type="spellEnd"/>
          </w:p>
          <w:p w:rsidR="00EB72AD" w:rsidRPr="002F3007" w:rsidRDefault="00EB72AD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Mutilation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genitale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feminine/excision </w:t>
            </w:r>
          </w:p>
          <w:p w:rsidR="00EB72AD" w:rsidRPr="00EB72AD" w:rsidRDefault="00EB72AD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EB72AD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Attitudes vis-à-vis de la violence domestique</w:t>
            </w:r>
          </w:p>
          <w:p w:rsidR="00EB72AD" w:rsidRPr="002F3007" w:rsidRDefault="00EB72AD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Mar</w:t>
            </w: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iage</w:t>
            </w:r>
            <w:proofErr w:type="spellEnd"/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/Union</w:t>
            </w:r>
          </w:p>
          <w:p w:rsidR="00EB72AD" w:rsidRPr="002F3007" w:rsidRDefault="00EB72AD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Comportment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sexuel</w:t>
            </w:r>
            <w:proofErr w:type="spellEnd"/>
          </w:p>
          <w:p w:rsidR="00EB72AD" w:rsidRPr="002F3007" w:rsidRDefault="00EB72AD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VIH/SIDA</w:t>
            </w:r>
          </w:p>
          <w:p w:rsidR="00EB72AD" w:rsidRPr="002F3007" w:rsidRDefault="00EB72AD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Mortalit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e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maternelle</w:t>
            </w:r>
            <w:proofErr w:type="spellEnd"/>
          </w:p>
          <w:p w:rsidR="00EB72AD" w:rsidRPr="00FF1871" w:rsidRDefault="00FF1871" w:rsidP="006D1025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FF1871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C</w:t>
            </w:r>
            <w:r w:rsidR="00EB72AD" w:rsidRPr="00FF1871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onsommation de tabac et d’alcool</w:t>
            </w:r>
          </w:p>
          <w:p w:rsidR="00EB72AD" w:rsidRPr="002F3007" w:rsidRDefault="00EB72AD" w:rsidP="00EB72AD">
            <w:pPr>
              <w:pStyle w:val="1H"/>
              <w:numPr>
                <w:ilvl w:val="0"/>
                <w:numId w:val="9"/>
              </w:numP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Sati</w:t>
            </w:r>
            <w:r w:rsidR="00087F3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faction de vie</w:t>
            </w:r>
          </w:p>
        </w:tc>
        <w:tc>
          <w:tcPr>
            <w:tcW w:w="2278" w:type="dxa"/>
            <w:tcBorders>
              <w:top w:val="single" w:sz="4" w:space="0" w:color="4F81BD" w:themeColor="accent1"/>
            </w:tcBorders>
          </w:tcPr>
          <w:p w:rsidR="00EB72AD" w:rsidRPr="00EB72AD" w:rsidRDefault="00EB72AD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EB72AD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Panneau d’information sur l’enfant de moins de 5 ans</w:t>
            </w:r>
          </w:p>
          <w:p w:rsidR="00EB72AD" w:rsidRPr="002F3007" w:rsidRDefault="00EB72AD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 w:rsidRPr="00EB72AD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Age</w:t>
            </w:r>
          </w:p>
          <w:p w:rsidR="00EB72AD" w:rsidRPr="002F3007" w:rsidRDefault="00EB72AD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Birth Registration</w:t>
            </w:r>
          </w:p>
          <w:p w:rsidR="00EB72AD" w:rsidRPr="002F3007" w:rsidRDefault="00EB72AD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Early Childhood Development</w:t>
            </w:r>
          </w:p>
          <w:p w:rsidR="00EB72AD" w:rsidRPr="002F3007" w:rsidRDefault="00EB72AD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Breastfeeding</w:t>
            </w:r>
          </w:p>
          <w:p w:rsidR="00EB72AD" w:rsidRPr="002F3007" w:rsidRDefault="00EB72AD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Care of Illness</w:t>
            </w:r>
          </w:p>
          <w:p w:rsidR="00EB72AD" w:rsidRPr="002F3007" w:rsidRDefault="00EB72AD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Malaria</w:t>
            </w:r>
          </w:p>
          <w:p w:rsidR="00EB72AD" w:rsidRPr="002F3007" w:rsidRDefault="00EB72AD" w:rsidP="00201EB8">
            <w:pPr>
              <w:pStyle w:val="1H"/>
              <w:numPr>
                <w:ilvl w:val="0"/>
                <w:numId w:val="10"/>
              </w:numPr>
              <w:ind w:left="290" w:hanging="230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Immunization</w:t>
            </w:r>
          </w:p>
          <w:p w:rsidR="00EB72AD" w:rsidRPr="002F3007" w:rsidRDefault="00EB72AD" w:rsidP="00EC1F2E">
            <w:pPr>
              <w:pStyle w:val="1H"/>
              <w:numPr>
                <w:ilvl w:val="0"/>
                <w:numId w:val="10"/>
              </w:numPr>
              <w:ind w:left="290" w:hanging="230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Anthropometry</w:t>
            </w:r>
          </w:p>
        </w:tc>
        <w:tc>
          <w:tcPr>
            <w:tcW w:w="2438" w:type="dxa"/>
            <w:tcBorders>
              <w:top w:val="single" w:sz="4" w:space="0" w:color="4F81BD" w:themeColor="accent1"/>
            </w:tcBorders>
          </w:tcPr>
          <w:p w:rsidR="00EB72AD" w:rsidRPr="006D1025" w:rsidRDefault="00EB72AD" w:rsidP="00F97114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P</w:t>
            </w:r>
            <w:r w:rsidRPr="005D68E2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anneau d’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i</w:t>
            </w:r>
            <w:r w:rsidRPr="005D68E2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nformation sur 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la femme</w:t>
            </w:r>
          </w:p>
          <w:p w:rsidR="00EB72AD" w:rsidRPr="006D1025" w:rsidRDefault="00EB72AD" w:rsidP="00F97114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Caracteristiques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de la femme</w:t>
            </w:r>
          </w:p>
          <w:p w:rsidR="00EB72AD" w:rsidRPr="006D1025" w:rsidRDefault="00EB72AD" w:rsidP="00F97114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6D102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Access au Mass Media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6D102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et utilisation des techn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o</w:t>
            </w:r>
            <w:r w:rsidRPr="006D102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logies d’information et d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e</w:t>
            </w:r>
            <w:r w:rsidRPr="006D102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communication</w:t>
            </w:r>
          </w:p>
          <w:p w:rsidR="00EB72AD" w:rsidRPr="002F3007" w:rsidRDefault="00EB72AD" w:rsidP="00EB72AD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D102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Mortalite</w:t>
            </w:r>
            <w:proofErr w:type="spellEnd"/>
            <w:r w:rsidRPr="006D1025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 des enfa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 xml:space="preserve">nts 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EB72AD" w:rsidRPr="00EB72AD" w:rsidRDefault="00EB72AD" w:rsidP="00F97114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 w:rsidRPr="00EB72AD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Attitudes vis-à-vis de la violence domestique</w:t>
            </w:r>
          </w:p>
          <w:p w:rsidR="00EB72AD" w:rsidRPr="002F3007" w:rsidRDefault="00EB72AD" w:rsidP="00F97114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Mar</w:t>
            </w:r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iage</w:t>
            </w:r>
            <w:proofErr w:type="spellEnd"/>
            <w:r w:rsidRPr="002F300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/Union</w:t>
            </w:r>
          </w:p>
          <w:p w:rsidR="00EB72AD" w:rsidRPr="002F3007" w:rsidRDefault="00EB72AD" w:rsidP="00F97114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Comportment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sexuel</w:t>
            </w:r>
            <w:proofErr w:type="spellEnd"/>
          </w:p>
          <w:p w:rsidR="00EB72AD" w:rsidRDefault="00EB72AD" w:rsidP="00EB72AD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VIH/SIDA</w:t>
            </w:r>
          </w:p>
          <w:p w:rsidR="00FF1871" w:rsidRPr="00EB72AD" w:rsidRDefault="00FF1871" w:rsidP="00EB72AD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Circon</w:t>
            </w:r>
            <w:r w:rsidR="00087F3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cision</w:t>
            </w:r>
            <w:proofErr w:type="spellEnd"/>
          </w:p>
          <w:p w:rsidR="00EB72AD" w:rsidRPr="00EB72AD" w:rsidRDefault="00FF1871" w:rsidP="00F97114">
            <w:pPr>
              <w:pStyle w:val="1H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C</w:t>
            </w:r>
            <w:r w:rsidR="00EB72AD" w:rsidRPr="00EB72AD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onsommation de tabac et d’alcool</w:t>
            </w:r>
          </w:p>
          <w:p w:rsidR="00EB72AD" w:rsidRPr="002F3007" w:rsidRDefault="00FF1871" w:rsidP="00FF1871">
            <w:pPr>
              <w:pStyle w:val="1H"/>
              <w:numPr>
                <w:ilvl w:val="0"/>
                <w:numId w:val="9"/>
              </w:numP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fr-FR"/>
              </w:rPr>
              <w:t>S</w:t>
            </w:r>
            <w:proofErr w:type="spellStart"/>
            <w:r w:rsidR="00EB72AD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ati</w:t>
            </w:r>
            <w:r w:rsidR="00087F3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s</w:t>
            </w:r>
            <w:r w:rsidR="00EB72AD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faction</w:t>
            </w:r>
            <w:proofErr w:type="spellEnd"/>
            <w:r w:rsidR="00EB72AD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de vie</w:t>
            </w:r>
          </w:p>
        </w:tc>
      </w:tr>
    </w:tbl>
    <w:p w:rsidR="00456756" w:rsidRPr="00441069" w:rsidRDefault="00441069" w:rsidP="00EC1F2E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 w:rsidRP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Deux </w:t>
      </w:r>
      <w:r w:rsidR="00EC1F2E" w:rsidRP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questionnaire</w:t>
      </w:r>
      <w:r w:rsidR="003647A3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s additionnels</w:t>
      </w:r>
      <w:r w:rsidRP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sont disponibles </w:t>
      </w:r>
      <w:r w:rsidR="00EC1F2E" w:rsidRP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: </w:t>
      </w:r>
    </w:p>
    <w:p w:rsidR="00456756" w:rsidRPr="00441069" w:rsidRDefault="00EC1F2E" w:rsidP="00EC1F2E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 w:rsidRP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(1) </w:t>
      </w:r>
      <w:r w:rsidR="007E1675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Le questionnaire </w:t>
      </w:r>
      <w:r w:rsid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«</w:t>
      </w:r>
      <w:r w:rsidR="001C7395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Handicap</w:t>
      </w:r>
      <w:r w:rsidR="00441069" w:rsidRP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des enfants</w:t>
      </w:r>
      <w:r w:rsid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 »</w:t>
      </w:r>
      <w:r w:rsidR="00441069" w:rsidRP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et</w:t>
      </w:r>
      <w:r w:rsidRP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</w:t>
      </w:r>
    </w:p>
    <w:p w:rsidR="00CD55E7" w:rsidRPr="00441069" w:rsidRDefault="00EC1F2E" w:rsidP="00EC1F2E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 w:rsidRP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(2) </w:t>
      </w:r>
      <w:r w:rsidR="007E1675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Le questionnaire </w:t>
      </w:r>
      <w:r w:rsid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«</w:t>
      </w:r>
      <w:r w:rsidRP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Vaccinations </w:t>
      </w:r>
      <w:r w:rsidR="00441069" w:rsidRP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au centre d</w:t>
      </w:r>
      <w:r w:rsid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e</w:t>
      </w:r>
      <w:r w:rsidR="00441069" w:rsidRP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sant</w:t>
      </w:r>
      <w:r w:rsid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é ».</w:t>
      </w:r>
      <w:r w:rsidR="00CD55E7" w:rsidRPr="00441069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</w:t>
      </w:r>
    </w:p>
    <w:p w:rsidR="00CD55E7" w:rsidRPr="00966BB8" w:rsidRDefault="00CD55E7" w:rsidP="00EC1F2E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16"/>
          <w:lang w:val="fr-FR"/>
        </w:rPr>
      </w:pPr>
      <w:bookmarkStart w:id="0" w:name="_GoBack"/>
      <w:bookmarkEnd w:id="0"/>
    </w:p>
    <w:p w:rsidR="00EC1F2E" w:rsidRPr="001C7395" w:rsidRDefault="007E1675" w:rsidP="00CD55E7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Le </w:t>
      </w:r>
      <w:r w:rsidRPr="007E1675">
        <w:rPr>
          <w:rFonts w:asciiTheme="minorHAnsi" w:hAnsiTheme="minorHAnsi" w:cstheme="minorHAnsi"/>
          <w:b w:val="0"/>
          <w:bCs/>
          <w:i/>
          <w:smallCaps w:val="0"/>
          <w:sz w:val="20"/>
          <w:lang w:val="fr-FR"/>
        </w:rPr>
        <w:t xml:space="preserve">questionnaire </w:t>
      </w:r>
      <w:r w:rsidR="001C7395" w:rsidRPr="001C7395">
        <w:rPr>
          <w:rFonts w:asciiTheme="minorHAnsi" w:hAnsiTheme="minorHAnsi" w:cstheme="minorHAnsi"/>
          <w:b w:val="0"/>
          <w:bCs/>
          <w:i/>
          <w:smallCaps w:val="0"/>
          <w:sz w:val="20"/>
          <w:lang w:val="fr-FR"/>
        </w:rPr>
        <w:t>Handicap des enfants</w:t>
      </w:r>
      <w:r w:rsidR="001C7395" w:rsidRPr="001C7395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  est administ</w:t>
      </w:r>
      <w:r w:rsidR="00CD55E7" w:rsidRPr="001C7395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r</w:t>
      </w:r>
      <w:r w:rsidR="001C7395" w:rsidRPr="001C7395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é</w:t>
      </w:r>
      <w:r w:rsidR="00CD55E7" w:rsidRPr="001C7395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</w:t>
      </w:r>
      <w:r w:rsidR="001C7395" w:rsidRPr="001C7395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aux mères ou </w:t>
      </w:r>
      <w:proofErr w:type="gramStart"/>
      <w:r w:rsidR="001C7395" w:rsidRPr="001C7395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aux gardien(</w:t>
      </w:r>
      <w:proofErr w:type="gramEnd"/>
      <w:r w:rsidR="001C7395" w:rsidRPr="001C7395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ne)s de tous les enfants de 2-9 ans et ne doit être utilisé que dans les pays où une évaluation médicale</w:t>
      </w:r>
      <w:r w:rsidR="003647A3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</w:t>
      </w:r>
      <w:r w:rsidR="001C7395" w:rsidRPr="001C7395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(des enfants identifiés par ce q</w:t>
      </w:r>
      <w:r w:rsidR="001C7395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uestionnaire comme </w:t>
      </w:r>
      <w:r w:rsidR="003647A3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potentiellement handicapés et d’un échantillon d’enfants dépistés négatifs à toutes les questions du questionnaire) est planifiée après l’enquête. </w:t>
      </w:r>
      <w:r w:rsidR="00CD55E7" w:rsidRPr="001C7395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</w:t>
      </w:r>
    </w:p>
    <w:p w:rsidR="00CD55E7" w:rsidRPr="001C7395" w:rsidRDefault="00CD55E7" w:rsidP="00CD55E7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</w:p>
    <w:p w:rsidR="00C41771" w:rsidRPr="003647A3" w:rsidRDefault="007E1675" w:rsidP="00CD55E7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</w:pPr>
      <w:r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Le </w:t>
      </w:r>
      <w:r w:rsidRPr="007E1675">
        <w:rPr>
          <w:rFonts w:asciiTheme="minorHAnsi" w:hAnsiTheme="minorHAnsi" w:cstheme="minorHAnsi"/>
          <w:b w:val="0"/>
          <w:bCs/>
          <w:i/>
          <w:smallCaps w:val="0"/>
          <w:sz w:val="20"/>
          <w:lang w:val="fr-FR"/>
        </w:rPr>
        <w:t>questionnaire</w:t>
      </w:r>
      <w:r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</w:t>
      </w:r>
      <w:r w:rsidR="003647A3" w:rsidRPr="003647A3">
        <w:rPr>
          <w:rFonts w:asciiTheme="minorHAnsi" w:hAnsiTheme="minorHAnsi" w:cstheme="minorHAnsi"/>
          <w:b w:val="0"/>
          <w:bCs/>
          <w:i/>
          <w:smallCaps w:val="0"/>
          <w:sz w:val="20"/>
          <w:lang w:val="fr-FR"/>
        </w:rPr>
        <w:t>Vaccinations au centre de santé</w:t>
      </w:r>
      <w:r w:rsidR="003647A3" w:rsidRPr="003647A3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  doit être </w:t>
      </w:r>
      <w:r w:rsidRPr="003647A3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utilisé</w:t>
      </w:r>
      <w:r w:rsidR="003647A3" w:rsidRPr="003647A3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 dans les pays o</w:t>
      </w:r>
      <w:r w:rsidR="003647A3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 xml:space="preserve">ù les cartes de vaccinations d’un nombre important d’enfants sont gardées dans les centres de santé. </w:t>
      </w:r>
      <w:r w:rsidR="003647A3" w:rsidRPr="003647A3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Les équipes d’enquêteurs doivent aller dans les centres de sant</w:t>
      </w:r>
      <w:r w:rsidR="003647A3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é pour compléter ce</w:t>
      </w:r>
      <w:r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tte fiche</w:t>
      </w:r>
      <w:r w:rsidR="00CD55E7" w:rsidRPr="003647A3">
        <w:rPr>
          <w:rFonts w:asciiTheme="minorHAnsi" w:hAnsiTheme="minorHAnsi" w:cstheme="minorHAnsi"/>
          <w:b w:val="0"/>
          <w:bCs/>
          <w:smallCaps w:val="0"/>
          <w:sz w:val="20"/>
          <w:lang w:val="fr-FR"/>
        </w:rPr>
        <w:t>.</w:t>
      </w:r>
    </w:p>
    <w:sectPr w:rsidR="00C41771" w:rsidRPr="003647A3" w:rsidSect="00BA7954">
      <w:footerReference w:type="default" r:id="rId10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96" w:rsidRDefault="00C56E96" w:rsidP="00456756">
      <w:pPr>
        <w:spacing w:after="0" w:line="240" w:lineRule="auto"/>
      </w:pPr>
      <w:r>
        <w:separator/>
      </w:r>
    </w:p>
  </w:endnote>
  <w:endnote w:type="continuationSeparator" w:id="0">
    <w:p w:rsidR="00C56E96" w:rsidRDefault="00C56E96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56" w:rsidRDefault="00456756">
    <w:pPr>
      <w:pStyle w:val="Footer"/>
    </w:pPr>
  </w:p>
  <w:p w:rsidR="00456756" w:rsidRDefault="00716673" w:rsidP="00716673">
    <w:pPr>
      <w:pStyle w:val="Footer"/>
      <w:jc w:val="right"/>
    </w:pPr>
    <w:r>
      <w:rPr>
        <w:i/>
        <w:sz w:val="16"/>
        <w:szCs w:val="16"/>
      </w:rPr>
      <w:t xml:space="preserve">13 </w:t>
    </w:r>
    <w:proofErr w:type="spellStart"/>
    <w:r>
      <w:rPr>
        <w:i/>
        <w:sz w:val="16"/>
        <w:szCs w:val="16"/>
      </w:rPr>
      <w:t>Novemb</w:t>
    </w:r>
    <w:r w:rsidR="007E1675">
      <w:rPr>
        <w:i/>
        <w:sz w:val="16"/>
        <w:szCs w:val="16"/>
      </w:rPr>
      <w:t>re</w:t>
    </w:r>
    <w:r>
      <w:rPr>
        <w:i/>
        <w:sz w:val="16"/>
        <w:szCs w:val="16"/>
      </w:rPr>
      <w:t>r</w:t>
    </w:r>
    <w:proofErr w:type="spellEnd"/>
    <w:r>
      <w:rPr>
        <w:i/>
        <w:sz w:val="16"/>
        <w:szCs w:val="16"/>
      </w:rPr>
      <w:t xml:space="preserve">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96" w:rsidRDefault="00C56E96" w:rsidP="00456756">
      <w:pPr>
        <w:spacing w:after="0" w:line="240" w:lineRule="auto"/>
      </w:pPr>
      <w:r>
        <w:separator/>
      </w:r>
    </w:p>
  </w:footnote>
  <w:footnote w:type="continuationSeparator" w:id="0">
    <w:p w:rsidR="00C56E96" w:rsidRDefault="00C56E96" w:rsidP="0045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4811"/>
    <w:multiLevelType w:val="hybridMultilevel"/>
    <w:tmpl w:val="4188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C479F"/>
    <w:multiLevelType w:val="hybridMultilevel"/>
    <w:tmpl w:val="B0483C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F2"/>
    <w:rsid w:val="00087F37"/>
    <w:rsid w:val="001C7395"/>
    <w:rsid w:val="00201EB8"/>
    <w:rsid w:val="00242565"/>
    <w:rsid w:val="002F3007"/>
    <w:rsid w:val="003647A3"/>
    <w:rsid w:val="00365C92"/>
    <w:rsid w:val="00366370"/>
    <w:rsid w:val="00401579"/>
    <w:rsid w:val="00432437"/>
    <w:rsid w:val="00441069"/>
    <w:rsid w:val="00456756"/>
    <w:rsid w:val="004F293C"/>
    <w:rsid w:val="005439D0"/>
    <w:rsid w:val="005D68E2"/>
    <w:rsid w:val="00601898"/>
    <w:rsid w:val="00683284"/>
    <w:rsid w:val="006D1025"/>
    <w:rsid w:val="007034E4"/>
    <w:rsid w:val="00716673"/>
    <w:rsid w:val="00743E3E"/>
    <w:rsid w:val="00780DCE"/>
    <w:rsid w:val="007E1675"/>
    <w:rsid w:val="008D5540"/>
    <w:rsid w:val="00966BB8"/>
    <w:rsid w:val="00A21871"/>
    <w:rsid w:val="00AA60A1"/>
    <w:rsid w:val="00B56DAC"/>
    <w:rsid w:val="00BA7954"/>
    <w:rsid w:val="00BF61F2"/>
    <w:rsid w:val="00C41771"/>
    <w:rsid w:val="00C56E96"/>
    <w:rsid w:val="00CD55E7"/>
    <w:rsid w:val="00CE37D8"/>
    <w:rsid w:val="00DC7DC3"/>
    <w:rsid w:val="00E2496A"/>
    <w:rsid w:val="00E57BFD"/>
    <w:rsid w:val="00EB72AD"/>
    <w:rsid w:val="00EC1F2E"/>
    <w:rsid w:val="00F145DB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49FE-64D7-46FF-85B3-603527C8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Turgay Unalan</cp:lastModifiedBy>
  <cp:revision>4</cp:revision>
  <cp:lastPrinted>2011-10-27T16:06:00Z</cp:lastPrinted>
  <dcterms:created xsi:type="dcterms:W3CDTF">2012-09-07T10:42:00Z</dcterms:created>
  <dcterms:modified xsi:type="dcterms:W3CDTF">2012-09-07T15:39:00Z</dcterms:modified>
</cp:coreProperties>
</file>