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960"/>
      </w:tblGrid>
      <w:tr w:rsidR="00184895" w:rsidRPr="00EF64EC" w14:paraId="1AA50653" w14:textId="77777777" w:rsidTr="00184895">
        <w:trPr>
          <w:cantSplit/>
        </w:trPr>
        <w:tc>
          <w:tcPr>
            <w:tcW w:w="13824" w:type="dxa"/>
          </w:tcPr>
          <w:p w14:paraId="2EFC285B" w14:textId="600B32B5"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bookmarkStart w:id="0" w:name="_GoBack"/>
            <w:bookmarkEnd w:id="0"/>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15-24 years who </w:t>
            </w:r>
            <w:proofErr w:type="gramStart"/>
            <w:r w:rsidRPr="00EF64EC">
              <w:rPr>
                <w:sz w:val="16"/>
                <w:szCs w:val="16"/>
                <w:lang w:val="en-GB"/>
              </w:rPr>
              <w:t>are able to</w:t>
            </w:r>
            <w:proofErr w:type="gramEnd"/>
            <w:r w:rsidRPr="00EF64EC">
              <w:rPr>
                <w:sz w:val="16"/>
                <w:szCs w:val="16"/>
                <w:lang w:val="en-GB"/>
              </w:rPr>
              <w:t xml:space="preserve">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5C31BF">
            <w:pPr>
              <w:pStyle w:val="ListParagraph"/>
              <w:numPr>
                <w:ilvl w:val="0"/>
                <w:numId w:val="40"/>
              </w:numPr>
              <w:rPr>
                <w:sz w:val="16"/>
                <w:szCs w:val="16"/>
                <w:lang w:val="en-GB"/>
              </w:rPr>
            </w:pPr>
            <w:r w:rsidRPr="005C31BF">
              <w:rPr>
                <w:sz w:val="16"/>
                <w:szCs w:val="16"/>
                <w:lang w:val="en-GB"/>
              </w:rPr>
              <w:t>during the last 3 months</w:t>
            </w:r>
          </w:p>
          <w:p w14:paraId="3E736F0C" w14:textId="65B3A0C1" w:rsidR="00184895" w:rsidRPr="005C31BF" w:rsidRDefault="00184895" w:rsidP="005C31BF">
            <w:pPr>
              <w:pStyle w:val="ListParagraph"/>
              <w:numPr>
                <w:ilvl w:val="0"/>
                <w:numId w:val="4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5C31BF">
            <w:pPr>
              <w:pStyle w:val="ListParagraph"/>
              <w:numPr>
                <w:ilvl w:val="0"/>
                <w:numId w:val="41"/>
              </w:numPr>
              <w:rPr>
                <w:sz w:val="16"/>
                <w:szCs w:val="16"/>
                <w:lang w:val="en-GB"/>
              </w:rPr>
            </w:pPr>
            <w:r w:rsidRPr="005C31BF">
              <w:rPr>
                <w:sz w:val="16"/>
                <w:szCs w:val="16"/>
                <w:lang w:val="en-GB"/>
              </w:rPr>
              <w:t>during the last 3 months</w:t>
            </w:r>
          </w:p>
          <w:p w14:paraId="64FFE67B" w14:textId="1DC4FAFE" w:rsidR="00134D1E" w:rsidRPr="005C31BF" w:rsidRDefault="00134D1E" w:rsidP="005C31BF">
            <w:pPr>
              <w:pStyle w:val="ListParagraph"/>
              <w:numPr>
                <w:ilvl w:val="0"/>
                <w:numId w:val="4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E713AF">
            <w:pPr>
              <w:pStyle w:val="ListParagraph"/>
              <w:numPr>
                <w:ilvl w:val="0"/>
                <w:numId w:val="43"/>
              </w:numPr>
              <w:rPr>
                <w:sz w:val="16"/>
                <w:szCs w:val="16"/>
                <w:lang w:val="en-GB"/>
              </w:rPr>
            </w:pPr>
            <w:r>
              <w:rPr>
                <w:sz w:val="16"/>
                <w:szCs w:val="16"/>
                <w:lang w:val="en-GB"/>
              </w:rPr>
              <w:t>age 15-24</w:t>
            </w:r>
          </w:p>
          <w:p w14:paraId="45E08343" w14:textId="5CF20498" w:rsidR="00E713AF" w:rsidRPr="00E713AF" w:rsidRDefault="00E713AF" w:rsidP="00E713AF">
            <w:pPr>
              <w:pStyle w:val="ListParagraph"/>
              <w:numPr>
                <w:ilvl w:val="0"/>
                <w:numId w:val="4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E713AF">
            <w:pPr>
              <w:pStyle w:val="ListParagraph"/>
              <w:numPr>
                <w:ilvl w:val="0"/>
                <w:numId w:val="44"/>
              </w:numPr>
              <w:rPr>
                <w:sz w:val="16"/>
                <w:szCs w:val="16"/>
                <w:lang w:val="en-GB"/>
              </w:rPr>
            </w:pPr>
            <w:r>
              <w:rPr>
                <w:sz w:val="16"/>
                <w:szCs w:val="16"/>
                <w:lang w:val="en-GB"/>
              </w:rPr>
              <w:t>age 15-24</w:t>
            </w:r>
          </w:p>
          <w:p w14:paraId="3F8BDEF2" w14:textId="5CC448B0" w:rsidR="00534E44" w:rsidRPr="00E713AF" w:rsidRDefault="00E713AF" w:rsidP="00E713AF">
            <w:pPr>
              <w:pStyle w:val="ListParagraph"/>
              <w:numPr>
                <w:ilvl w:val="0"/>
                <w:numId w:val="4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 xml:space="preserve">Prevalence of children with one or both </w:t>
            </w:r>
            <w:proofErr w:type="gramStart"/>
            <w:r w:rsidRPr="00EF64EC">
              <w:rPr>
                <w:sz w:val="16"/>
                <w:szCs w:val="16"/>
                <w:lang w:val="en-GB"/>
              </w:rPr>
              <w:t>parents</w:t>
            </w:r>
            <w:proofErr w:type="gramEnd"/>
            <w:r w:rsidRPr="00EF64EC">
              <w:rPr>
                <w:sz w:val="16"/>
                <w:szCs w:val="16"/>
                <w:lang w:val="en-GB"/>
              </w:rPr>
              <w:t xml:space="preserve">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w:t>
            </w:r>
            <w:proofErr w:type="gramStart"/>
            <w:r w:rsidRPr="00EF64EC">
              <w:rPr>
                <w:sz w:val="16"/>
                <w:szCs w:val="16"/>
                <w:lang w:val="en-GB"/>
              </w:rPr>
              <w:t>parents</w:t>
            </w:r>
            <w:proofErr w:type="gramEnd"/>
            <w:r w:rsidRPr="00EF64EC">
              <w:rPr>
                <w:sz w:val="16"/>
                <w:szCs w:val="16"/>
                <w:lang w:val="en-GB"/>
              </w:rPr>
              <w:t xml:space="preserve">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59A98E1B"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8C5EAD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60186C7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3CF99551"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5375950" w:rsidR="00184895" w:rsidRPr="00EF64EC" w:rsidRDefault="00184895" w:rsidP="00184895">
            <w:pPr>
              <w:jc w:val="center"/>
              <w:rPr>
                <w:b/>
                <w:sz w:val="20"/>
                <w:lang w:val="en-GB"/>
              </w:rPr>
            </w:pPr>
            <w:r w:rsidRPr="00EF64EC">
              <w:rPr>
                <w:b/>
                <w:sz w:val="20"/>
                <w:lang w:val="en-GB"/>
              </w:rPr>
              <w:t>Module</w:t>
            </w:r>
            <w:r w:rsidR="009F1057">
              <w:rPr>
                <w:sz w:val="20"/>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53BE883"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1" w:name="_Ref501447969"/>
            <w:r w:rsidRPr="00EF64EC">
              <w:rPr>
                <w:sz w:val="16"/>
                <w:szCs w:val="16"/>
                <w:vertAlign w:val="superscript"/>
                <w:lang w:val="en-GB"/>
              </w:rPr>
              <w:footnoteReference w:id="5"/>
            </w:r>
            <w:bookmarkEnd w:id="1"/>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6"/>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7"/>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report</w:t>
            </w:r>
            <w:r>
              <w:rPr>
                <w:sz w:val="16"/>
                <w:szCs w:val="16"/>
                <w:lang w:val="en-GB"/>
              </w:rPr>
              <w:t>ed</w:t>
            </w:r>
            <w:r w:rsidRPr="00EF64EC">
              <w:rPr>
                <w:sz w:val="16"/>
                <w:szCs w:val="16"/>
                <w:lang w:val="en-GB"/>
              </w:rPr>
              <w:t xml:space="preserve"> having had more than one sexual partner in the last 12 months who also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in the last 12 months with a partner who was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t>
            </w:r>
            <w:r>
              <w:rPr>
                <w:sz w:val="16"/>
                <w:szCs w:val="16"/>
                <w:lang w:val="en-GB"/>
              </w:rPr>
              <w:t xml:space="preserve">in the last 12 months </w:t>
            </w:r>
            <w:r w:rsidRPr="00EF64EC">
              <w:rPr>
                <w:sz w:val="16"/>
                <w:szCs w:val="16"/>
                <w:lang w:val="en-GB"/>
              </w:rPr>
              <w:t>with 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with a non-marital, non-cohabiting partner in the last 12 months </w:t>
            </w:r>
            <w:r>
              <w:rPr>
                <w:sz w:val="16"/>
                <w:szCs w:val="16"/>
                <w:lang w:val="en-GB"/>
              </w:rPr>
              <w:t xml:space="preserve">who also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2B331F2E" w:rsidR="00184895" w:rsidRPr="00EF64EC" w:rsidRDefault="00184895" w:rsidP="00184895">
            <w:pPr>
              <w:rPr>
                <w:sz w:val="16"/>
                <w:szCs w:val="16"/>
                <w:lang w:val="en-GB"/>
              </w:rPr>
            </w:pPr>
            <w:r w:rsidRPr="00EF64EC">
              <w:rPr>
                <w:sz w:val="16"/>
                <w:szCs w:val="16"/>
                <w:lang w:val="en-GB"/>
              </w:rPr>
              <w:t>Knowledge 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 ways of preventing the sexual transmission of HIV</w:t>
            </w:r>
            <w:r w:rsidRPr="00EF64EC">
              <w:rPr>
                <w:sz w:val="16"/>
                <w:szCs w:val="16"/>
                <w:vertAlign w:val="superscript"/>
                <w:lang w:val="en-GB"/>
              </w:rPr>
              <w:footnoteReference w:id="8"/>
            </w:r>
            <w:r w:rsidRPr="00EF64EC">
              <w:rPr>
                <w:sz w:val="16"/>
                <w:szCs w:val="16"/>
                <w:lang w:val="en-GB"/>
              </w:rPr>
              <w:t>, and who reject major 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who </w:t>
            </w:r>
            <w:r>
              <w:rPr>
                <w:sz w:val="16"/>
                <w:szCs w:val="16"/>
                <w:lang w:val="en-GB"/>
              </w:rPr>
              <w:t xml:space="preserve">have heard of HIV </w:t>
            </w:r>
            <w:r w:rsidRPr="00EF64EC">
              <w:rPr>
                <w:sz w:val="16"/>
                <w:szCs w:val="16"/>
                <w:lang w:val="en-GB"/>
              </w:rPr>
              <w:t>report</w:t>
            </w:r>
            <w:r>
              <w:rPr>
                <w:sz w:val="16"/>
                <w:szCs w:val="16"/>
                <w:lang w:val="en-GB"/>
              </w:rPr>
              <w:t>ing</w:t>
            </w:r>
            <w:r w:rsidRPr="00EF64EC">
              <w:rPr>
                <w:sz w:val="16"/>
                <w:szCs w:val="16"/>
                <w:lang w:val="en-GB"/>
              </w:rPr>
              <w:t xml:space="preserve">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have been tested for HIV in the last 12 months and who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have had sex in the last 12 months, who have been tested for HIV in the last 12 months</w:t>
            </w:r>
            <w:r w:rsidRPr="00EF64EC" w:rsidDel="00F47F9A">
              <w:rPr>
                <w:sz w:val="16"/>
                <w:szCs w:val="16"/>
                <w:lang w:val="en-GB"/>
              </w:rPr>
              <w:t xml:space="preserve"> </w:t>
            </w:r>
            <w:r w:rsidRPr="00EF64EC">
              <w:rPr>
                <w:sz w:val="16"/>
                <w:szCs w:val="16"/>
                <w:lang w:val="en-GB"/>
              </w:rPr>
              <w:t>and who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7777777" w:rsidR="00184895" w:rsidRDefault="00184895" w:rsidP="00184895">
            <w:pPr>
              <w:numPr>
                <w:ilvl w:val="0"/>
                <w:numId w:val="12"/>
              </w:numPr>
              <w:contextualSpacing/>
              <w:rPr>
                <w:sz w:val="16"/>
                <w:szCs w:val="16"/>
                <w:lang w:val="en-GB"/>
              </w:rPr>
            </w:pPr>
            <w:r w:rsidRPr="00EF64EC">
              <w:rPr>
                <w:sz w:val="16"/>
                <w:szCs w:val="16"/>
                <w:lang w:val="en-GB"/>
              </w:rPr>
              <w:t>counselling on HIV</w:t>
            </w:r>
          </w:p>
          <w:p w14:paraId="2692B1A9" w14:textId="77777777"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2C5C8126"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0B9CAA95"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455FE885"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2"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2"/>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53CB7B26" w:rsidR="00ED3902" w:rsidRPr="00EF64EC" w:rsidRDefault="00ED3902" w:rsidP="00ED3902">
            <w:pPr>
              <w:rPr>
                <w:sz w:val="16"/>
                <w:szCs w:val="16"/>
                <w:lang w:val="en-GB"/>
              </w:rPr>
            </w:pPr>
            <w:r w:rsidRPr="00EF64EC">
              <w:rPr>
                <w:sz w:val="16"/>
                <w:szCs w:val="16"/>
                <w:lang w:val="en-GB"/>
              </w:rPr>
              <w:t>Full immunization coverage</w:t>
            </w:r>
            <w:r w:rsidRPr="00105B93">
              <w:rPr>
                <w:sz w:val="18"/>
                <w:szCs w:val="16"/>
                <w:vertAlign w:val="superscript"/>
                <w:lang w:val="en-GB"/>
              </w:rPr>
              <w:fldChar w:fldCharType="begin"/>
            </w:r>
            <w:r w:rsidRPr="00105B93">
              <w:rPr>
                <w:sz w:val="16"/>
                <w:szCs w:val="16"/>
                <w:vertAlign w:val="superscript"/>
                <w:lang w:val="en-GB"/>
              </w:rPr>
              <w:instrText xml:space="preserve"> NOTEREF _Ref464250402 \h </w:instrText>
            </w:r>
            <w:r>
              <w:rPr>
                <w:sz w:val="18"/>
                <w:szCs w:val="16"/>
                <w:vertAlign w:val="superscript"/>
                <w:lang w:val="en-GB"/>
              </w:rPr>
              <w:instrText xml:space="preserve"> \* MERGEFORMAT </w:instrText>
            </w:r>
            <w:r w:rsidRPr="00105B93">
              <w:rPr>
                <w:sz w:val="18"/>
                <w:szCs w:val="16"/>
                <w:vertAlign w:val="superscript"/>
                <w:lang w:val="en-GB"/>
              </w:rPr>
            </w:r>
            <w:r w:rsidRPr="00105B93">
              <w:rPr>
                <w:sz w:val="18"/>
                <w:szCs w:val="16"/>
                <w:vertAlign w:val="superscript"/>
                <w:lang w:val="en-GB"/>
              </w:rPr>
              <w:fldChar w:fldCharType="separate"/>
            </w:r>
            <w:bookmarkStart w:id="3" w:name="_Ref464250402"/>
            <w:r w:rsidR="00181D20" w:rsidRPr="00EF64EC">
              <w:rPr>
                <w:sz w:val="16"/>
                <w:szCs w:val="16"/>
                <w:vertAlign w:val="superscript"/>
                <w:lang w:val="en-GB"/>
              </w:rPr>
              <w:footnoteReference w:id="11"/>
            </w:r>
            <w:bookmarkEnd w:id="3"/>
            <w:r w:rsidRPr="00105B93">
              <w:rPr>
                <w:sz w:val="18"/>
                <w:szCs w:val="16"/>
                <w:vertAlign w:val="superscript"/>
                <w:lang w:val="en-GB"/>
              </w:rPr>
              <w:fldChar w:fldCharType="end"/>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5A6AF0">
            <w:pPr>
              <w:pStyle w:val="ListParagraph"/>
              <w:numPr>
                <w:ilvl w:val="0"/>
                <w:numId w:val="46"/>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5A6AF0">
            <w:pPr>
              <w:pStyle w:val="ListParagraph"/>
              <w:numPr>
                <w:ilvl w:val="0"/>
                <w:numId w:val="46"/>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w:t>
            </w:r>
          </w:p>
          <w:p w14:paraId="2DD9367C"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2"/>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ED3902">
            <w:pPr>
              <w:numPr>
                <w:ilvl w:val="0"/>
                <w:numId w:val="5"/>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ED3902">
            <w:pPr>
              <w:numPr>
                <w:ilvl w:val="0"/>
                <w:numId w:val="5"/>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3"/>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4"/>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5"/>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ED3902">
            <w:pPr>
              <w:numPr>
                <w:ilvl w:val="0"/>
                <w:numId w:val="2"/>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ED3902">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lastRenderedPageBreak/>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6"/>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7"/>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5C31BF">
            <w:pPr>
              <w:numPr>
                <w:ilvl w:val="0"/>
                <w:numId w:val="3"/>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5C31BF">
            <w:pPr>
              <w:numPr>
                <w:ilvl w:val="0"/>
                <w:numId w:val="3"/>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ED3902">
            <w:pPr>
              <w:numPr>
                <w:ilvl w:val="0"/>
                <w:numId w:val="23"/>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ED3902">
            <w:pPr>
              <w:numPr>
                <w:ilvl w:val="0"/>
                <w:numId w:val="23"/>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ED3902">
            <w:pPr>
              <w:numPr>
                <w:ilvl w:val="0"/>
                <w:numId w:val="34"/>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ED3902">
            <w:pPr>
              <w:numPr>
                <w:ilvl w:val="0"/>
                <w:numId w:val="34"/>
              </w:numPr>
              <w:contextualSpacing/>
              <w:rPr>
                <w:sz w:val="16"/>
                <w:szCs w:val="16"/>
                <w:lang w:val="en-GB"/>
              </w:rPr>
            </w:pPr>
            <w:r w:rsidRPr="00EF64EC">
              <w:rPr>
                <w:sz w:val="16"/>
                <w:szCs w:val="16"/>
                <w:lang w:val="en-GB"/>
              </w:rPr>
              <w:t>Father</w:t>
            </w:r>
          </w:p>
          <w:p w14:paraId="11587E7F" w14:textId="77777777" w:rsidR="00ED3902" w:rsidRPr="00EF64EC" w:rsidRDefault="00ED3902" w:rsidP="00ED3902">
            <w:pPr>
              <w:numPr>
                <w:ilvl w:val="0"/>
                <w:numId w:val="34"/>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lastRenderedPageBreak/>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2F9A3EBA"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0272DC88"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3D7A9C1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50547CAC" w:rsidR="00184895" w:rsidRPr="00EF64EC" w:rsidRDefault="00184895" w:rsidP="00184895">
            <w:pPr>
              <w:numPr>
                <w:ilvl w:val="0"/>
                <w:numId w:val="32"/>
              </w:numPr>
              <w:contextualSpacing/>
              <w:rPr>
                <w:sz w:val="16"/>
                <w:szCs w:val="16"/>
                <w:lang w:val="en-GB"/>
              </w:rPr>
            </w:pPr>
            <w:r w:rsidRPr="00EF64EC">
              <w:rPr>
                <w:sz w:val="16"/>
                <w:szCs w:val="16"/>
                <w:lang w:val="en-GB"/>
              </w:rPr>
              <w:t xml:space="preserve">primary school age who are not attending </w:t>
            </w:r>
            <w:r w:rsidR="0039710C">
              <w:rPr>
                <w:sz w:val="16"/>
                <w:szCs w:val="16"/>
                <w:lang w:val="en-GB"/>
              </w:rPr>
              <w:t xml:space="preserve">early childhood education, </w:t>
            </w:r>
            <w:r w:rsidRPr="00EF64EC">
              <w:rPr>
                <w:sz w:val="16"/>
                <w:szCs w:val="16"/>
                <w:lang w:val="en-GB"/>
              </w:rPr>
              <w:t>primary or lower secondary school</w:t>
            </w:r>
          </w:p>
          <w:p w14:paraId="0DD92E46" w14:textId="77777777"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completion age (age appropriate to final grade)</w:t>
            </w:r>
            <w:r>
              <w:rPr>
                <w:sz w:val="16"/>
                <w:szCs w:val="16"/>
                <w:lang w:val="en-GB"/>
              </w:rPr>
              <w:t xml:space="preserve"> </w:t>
            </w:r>
            <w:r w:rsidRPr="00EF64EC">
              <w:rPr>
                <w:sz w:val="16"/>
                <w:szCs w:val="16"/>
                <w:lang w:val="en-GB"/>
              </w:rPr>
              <w:t xml:space="preserve">attending the last grade (excluding repeaters) </w:t>
            </w:r>
          </w:p>
          <w:p w14:paraId="20FF98BB" w14:textId="77777777"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14:paraId="0892FA2E" w14:textId="77777777"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14:paraId="52E8A80A" w14:textId="77777777"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184895">
            <w:pPr>
              <w:numPr>
                <w:ilvl w:val="0"/>
                <w:numId w:val="27"/>
              </w:numPr>
              <w:contextualSpacing/>
              <w:rPr>
                <w:sz w:val="16"/>
                <w:szCs w:val="16"/>
                <w:lang w:val="en-GB"/>
              </w:rPr>
            </w:pPr>
            <w:r w:rsidRPr="00EF64EC">
              <w:rPr>
                <w:sz w:val="16"/>
                <w:szCs w:val="16"/>
                <w:lang w:val="en-GB"/>
              </w:rPr>
              <w:t>Primary school</w:t>
            </w:r>
          </w:p>
          <w:p w14:paraId="3C32D9BF" w14:textId="77777777"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FC30F8" w:rsidRPr="00EF64EC"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EF64EC" w:rsidRDefault="00FC30F8" w:rsidP="00184895">
            <w:pPr>
              <w:keepNext/>
              <w:keepLines/>
              <w:rPr>
                <w:sz w:val="16"/>
                <w:szCs w:val="16"/>
                <w:lang w:val="en-GB"/>
              </w:rPr>
            </w:pPr>
            <w:r w:rsidRPr="00EF64EC">
              <w:rPr>
                <w:sz w:val="16"/>
                <w:szCs w:val="16"/>
                <w:lang w:val="en-GB"/>
              </w:rPr>
              <w:lastRenderedPageBreak/>
              <w:t>LN.11a</w:t>
            </w:r>
          </w:p>
          <w:p w14:paraId="0337986F" w14:textId="77777777" w:rsidR="00FC30F8" w:rsidRPr="00EF64EC" w:rsidRDefault="00FC30F8" w:rsidP="00184895">
            <w:pPr>
              <w:keepNext/>
              <w:keepLines/>
              <w:rPr>
                <w:sz w:val="16"/>
                <w:szCs w:val="16"/>
                <w:lang w:val="en-GB"/>
              </w:rPr>
            </w:pPr>
            <w:r w:rsidRPr="00EF64EC">
              <w:rPr>
                <w:sz w:val="16"/>
                <w:szCs w:val="16"/>
                <w:lang w:val="en-GB"/>
              </w:rPr>
              <w:t>LN.11b</w:t>
            </w:r>
          </w:p>
          <w:p w14:paraId="06DF8689" w14:textId="77777777" w:rsidR="00FC30F8" w:rsidRPr="00EF64EC" w:rsidRDefault="00FC30F8"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14:paraId="4838EFB1" w14:textId="77777777" w:rsidR="00FC30F8" w:rsidRPr="00EF64EC" w:rsidRDefault="00FC30F8" w:rsidP="00184895">
            <w:pPr>
              <w:keepNext/>
              <w:keepLines/>
              <w:rPr>
                <w:sz w:val="16"/>
                <w:szCs w:val="16"/>
                <w:lang w:val="en-GB"/>
              </w:rPr>
            </w:pPr>
            <w:r w:rsidRPr="00EF64EC">
              <w:rPr>
                <w:sz w:val="16"/>
                <w:szCs w:val="16"/>
                <w:lang w:val="en-GB"/>
              </w:rPr>
              <w:t>Education Parity Indices</w:t>
            </w:r>
          </w:p>
          <w:p w14:paraId="4B50336E"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Gender</w:t>
            </w:r>
          </w:p>
          <w:p w14:paraId="5ED1E138"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Wealth</w:t>
            </w:r>
          </w:p>
          <w:p w14:paraId="34BA0E84"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14:paraId="60CBAA61" w14:textId="77777777" w:rsidR="00FC30F8" w:rsidRPr="00EF64EC" w:rsidRDefault="00FC30F8" w:rsidP="00184895">
            <w:pPr>
              <w:keepNext/>
              <w:keepLines/>
              <w:jc w:val="center"/>
              <w:rPr>
                <w:sz w:val="16"/>
                <w:szCs w:val="16"/>
                <w:lang w:val="en-GB"/>
              </w:rPr>
            </w:pPr>
            <w:r w:rsidRPr="00EF64EC">
              <w:rPr>
                <w:sz w:val="16"/>
                <w:szCs w:val="16"/>
                <w:lang w:val="en-GB"/>
              </w:rPr>
              <w:t>4.5.1</w:t>
            </w:r>
          </w:p>
        </w:tc>
        <w:tc>
          <w:tcPr>
            <w:tcW w:w="356" w:type="pct"/>
            <w:vMerge w:val="restart"/>
            <w:vAlign w:val="center"/>
          </w:tcPr>
          <w:p w14:paraId="00542F92" w14:textId="77777777" w:rsidR="00FC30F8" w:rsidRPr="00EF64EC" w:rsidRDefault="00FC30F8" w:rsidP="00184895">
            <w:pPr>
              <w:keepNext/>
              <w:keepLines/>
              <w:jc w:val="center"/>
              <w:rPr>
                <w:sz w:val="16"/>
                <w:szCs w:val="16"/>
                <w:lang w:val="en-GB"/>
              </w:rPr>
            </w:pPr>
            <w:r w:rsidRPr="00EF64EC">
              <w:rPr>
                <w:sz w:val="16"/>
                <w:szCs w:val="16"/>
                <w:lang w:val="en-GB"/>
              </w:rPr>
              <w:t>ED</w:t>
            </w:r>
          </w:p>
        </w:tc>
        <w:tc>
          <w:tcPr>
            <w:tcW w:w="2812" w:type="pct"/>
            <w:tcBorders>
              <w:bottom w:val="nil"/>
            </w:tcBorders>
          </w:tcPr>
          <w:p w14:paraId="2211A54C" w14:textId="14D74A4B" w:rsidR="00FC30F8" w:rsidRPr="00EF64EC" w:rsidRDefault="00FC30F8" w:rsidP="00184895">
            <w:pPr>
              <w:keepNext/>
              <w:keepLines/>
              <w:rPr>
                <w:sz w:val="16"/>
                <w:szCs w:val="16"/>
                <w:lang w:val="en-GB"/>
              </w:rPr>
            </w:pPr>
            <w:r w:rsidRPr="00EF64EC">
              <w:rPr>
                <w:sz w:val="16"/>
                <w:szCs w:val="16"/>
                <w:lang w:val="en-GB"/>
              </w:rPr>
              <w:t>Net attendance ratio (adjusted) for girls</w:t>
            </w:r>
            <w:r>
              <w:rPr>
                <w:sz w:val="16"/>
                <w:szCs w:val="16"/>
                <w:lang w:val="en-GB"/>
              </w:rPr>
              <w:t xml:space="preserve"> divided by n</w:t>
            </w:r>
            <w:r w:rsidRPr="00EF64EC">
              <w:rPr>
                <w:sz w:val="16"/>
                <w:szCs w:val="16"/>
                <w:lang w:val="en-GB"/>
              </w:rPr>
              <w:t>et attendance ratio (adjusted) for boys</w:t>
            </w:r>
          </w:p>
          <w:p w14:paraId="19FF1114"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primary school</w:t>
            </w:r>
          </w:p>
          <w:p w14:paraId="693EF625"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lower secondary school</w:t>
            </w:r>
          </w:p>
          <w:p w14:paraId="6E3FA384" w14:textId="6CE4BA97" w:rsidR="00FC30F8" w:rsidRPr="00EF64EC" w:rsidRDefault="00FC30F8" w:rsidP="003B6F62">
            <w:pPr>
              <w:keepNext/>
              <w:keepLines/>
              <w:numPr>
                <w:ilvl w:val="0"/>
                <w:numId w:val="14"/>
              </w:numPr>
              <w:contextualSpacing/>
              <w:rPr>
                <w:sz w:val="16"/>
                <w:szCs w:val="16"/>
                <w:lang w:val="en-GB"/>
              </w:rPr>
            </w:pPr>
            <w:r w:rsidRPr="00EF64EC">
              <w:rPr>
                <w:sz w:val="16"/>
                <w:szCs w:val="16"/>
                <w:lang w:val="en-GB"/>
              </w:rPr>
              <w:t>upper secondary school</w:t>
            </w:r>
          </w:p>
        </w:tc>
        <w:tc>
          <w:tcPr>
            <w:tcW w:w="314" w:type="pct"/>
            <w:vMerge w:val="restart"/>
            <w:vAlign w:val="center"/>
          </w:tcPr>
          <w:p w14:paraId="1A70E010" w14:textId="77777777" w:rsidR="00FC30F8" w:rsidRPr="00EF64EC" w:rsidRDefault="00FC30F8" w:rsidP="00184895">
            <w:pPr>
              <w:keepLines/>
              <w:jc w:val="center"/>
              <w:rPr>
                <w:sz w:val="16"/>
                <w:szCs w:val="16"/>
                <w:lang w:val="en-GB"/>
              </w:rPr>
            </w:pPr>
          </w:p>
        </w:tc>
      </w:tr>
      <w:tr w:rsidR="00FC30F8" w:rsidRPr="00EF64EC"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76FB7361" w14:textId="77777777" w:rsidR="00FC30F8" w:rsidRPr="00EF64EC" w:rsidRDefault="00FC30F8" w:rsidP="00184895">
            <w:pPr>
              <w:keepNext/>
              <w:keepLines/>
              <w:rPr>
                <w:sz w:val="16"/>
                <w:szCs w:val="16"/>
                <w:lang w:val="en-GB"/>
              </w:rPr>
            </w:pPr>
          </w:p>
        </w:tc>
        <w:tc>
          <w:tcPr>
            <w:tcW w:w="420" w:type="pct"/>
            <w:vMerge/>
            <w:vAlign w:val="center"/>
          </w:tcPr>
          <w:p w14:paraId="278653F7" w14:textId="77777777" w:rsidR="00FC30F8" w:rsidRPr="00EF64EC" w:rsidRDefault="00FC30F8" w:rsidP="00184895">
            <w:pPr>
              <w:keepNext/>
              <w:keepLines/>
              <w:jc w:val="center"/>
              <w:rPr>
                <w:sz w:val="16"/>
                <w:szCs w:val="16"/>
                <w:lang w:val="en-GB"/>
              </w:rPr>
            </w:pPr>
          </w:p>
        </w:tc>
        <w:tc>
          <w:tcPr>
            <w:tcW w:w="356" w:type="pct"/>
            <w:vMerge/>
            <w:vAlign w:val="center"/>
          </w:tcPr>
          <w:p w14:paraId="674FEACB" w14:textId="77777777" w:rsidR="00FC30F8" w:rsidRPr="00EF64EC" w:rsidRDefault="00FC30F8" w:rsidP="00184895">
            <w:pPr>
              <w:keepNext/>
              <w:keepLines/>
              <w:jc w:val="center"/>
              <w:rPr>
                <w:sz w:val="16"/>
                <w:szCs w:val="16"/>
                <w:lang w:val="en-GB"/>
              </w:rPr>
            </w:pPr>
          </w:p>
        </w:tc>
        <w:tc>
          <w:tcPr>
            <w:tcW w:w="2812" w:type="pct"/>
            <w:tcBorders>
              <w:top w:val="nil"/>
              <w:bottom w:val="nil"/>
            </w:tcBorders>
          </w:tcPr>
          <w:p w14:paraId="02A582A5" w14:textId="7DDEA3FF" w:rsidR="00FC30F8" w:rsidRPr="00EF64EC" w:rsidRDefault="00FC30F8" w:rsidP="00184895">
            <w:pPr>
              <w:keepNext/>
              <w:keepLines/>
              <w:rPr>
                <w:sz w:val="16"/>
                <w:szCs w:val="16"/>
                <w:lang w:val="en-GB"/>
              </w:rPr>
            </w:pPr>
            <w:r w:rsidRPr="00EF64EC">
              <w:rPr>
                <w:sz w:val="16"/>
                <w:szCs w:val="16"/>
                <w:lang w:val="en-GB"/>
              </w:rPr>
              <w:t>Net attendance ratio (adjusted) for the</w:t>
            </w:r>
            <w:r w:rsidR="003B6F62">
              <w:rPr>
                <w:sz w:val="16"/>
                <w:szCs w:val="16"/>
                <w:lang w:val="en-GB"/>
              </w:rPr>
              <w:t xml:space="preserve"> </w:t>
            </w:r>
            <w:r w:rsidRPr="00EF64EC">
              <w:rPr>
                <w:sz w:val="16"/>
                <w:szCs w:val="16"/>
                <w:lang w:val="en-GB"/>
              </w:rPr>
              <w:t>poorest quintile</w:t>
            </w:r>
            <w:r>
              <w:rPr>
                <w:sz w:val="16"/>
                <w:szCs w:val="16"/>
                <w:lang w:val="en-GB"/>
              </w:rPr>
              <w:t xml:space="preserve"> divided by n</w:t>
            </w:r>
            <w:r w:rsidRPr="00EF64EC">
              <w:rPr>
                <w:sz w:val="16"/>
                <w:szCs w:val="16"/>
                <w:lang w:val="en-GB"/>
              </w:rPr>
              <w:t>et attendance ratio (adjusted) for the richest quintile</w:t>
            </w:r>
          </w:p>
          <w:p w14:paraId="229196A3"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primary school</w:t>
            </w:r>
          </w:p>
          <w:p w14:paraId="464CA284"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lower secondary school</w:t>
            </w:r>
          </w:p>
          <w:p w14:paraId="10673C95" w14:textId="5A181B21" w:rsidR="00FC30F8" w:rsidRPr="003B6F62" w:rsidRDefault="00FC30F8" w:rsidP="003B6F62">
            <w:pPr>
              <w:keepNext/>
              <w:keepLines/>
              <w:numPr>
                <w:ilvl w:val="0"/>
                <w:numId w:val="26"/>
              </w:numPr>
              <w:contextualSpacing/>
              <w:rPr>
                <w:sz w:val="16"/>
                <w:szCs w:val="16"/>
                <w:lang w:val="en-GB"/>
              </w:rPr>
            </w:pPr>
            <w:r w:rsidRPr="00EF64EC">
              <w:rPr>
                <w:sz w:val="16"/>
                <w:szCs w:val="16"/>
                <w:lang w:val="en-GB"/>
              </w:rPr>
              <w:t>upper secondary school</w:t>
            </w:r>
          </w:p>
        </w:tc>
        <w:tc>
          <w:tcPr>
            <w:tcW w:w="314" w:type="pct"/>
            <w:vMerge/>
            <w:vAlign w:val="center"/>
          </w:tcPr>
          <w:p w14:paraId="638BD387" w14:textId="77777777" w:rsidR="00FC30F8" w:rsidRPr="00EF64EC" w:rsidRDefault="00FC30F8" w:rsidP="00184895">
            <w:pPr>
              <w:keepLines/>
              <w:jc w:val="center"/>
              <w:rPr>
                <w:sz w:val="16"/>
                <w:szCs w:val="16"/>
                <w:lang w:val="en-GB"/>
              </w:rPr>
            </w:pPr>
          </w:p>
        </w:tc>
      </w:tr>
      <w:tr w:rsidR="00FC30F8" w:rsidRPr="00EF64EC"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2EAE256D" w14:textId="77777777" w:rsidR="00FC30F8" w:rsidRPr="00EF64EC" w:rsidRDefault="00FC30F8" w:rsidP="00184895">
            <w:pPr>
              <w:keepNext/>
              <w:keepLines/>
              <w:rPr>
                <w:sz w:val="16"/>
                <w:szCs w:val="16"/>
                <w:lang w:val="en-GB"/>
              </w:rPr>
            </w:pPr>
          </w:p>
        </w:tc>
        <w:tc>
          <w:tcPr>
            <w:tcW w:w="420" w:type="pct"/>
            <w:vMerge/>
            <w:vAlign w:val="center"/>
          </w:tcPr>
          <w:p w14:paraId="69DE95DF" w14:textId="77777777" w:rsidR="00FC30F8" w:rsidRPr="00EF64EC" w:rsidRDefault="00FC30F8" w:rsidP="00184895">
            <w:pPr>
              <w:keepNext/>
              <w:keepLines/>
              <w:jc w:val="center"/>
              <w:rPr>
                <w:sz w:val="16"/>
                <w:szCs w:val="16"/>
                <w:lang w:val="en-GB"/>
              </w:rPr>
            </w:pPr>
          </w:p>
        </w:tc>
        <w:tc>
          <w:tcPr>
            <w:tcW w:w="356" w:type="pct"/>
            <w:vMerge/>
            <w:vAlign w:val="center"/>
          </w:tcPr>
          <w:p w14:paraId="1B286C99" w14:textId="77777777" w:rsidR="00FC30F8" w:rsidRPr="00EF64EC" w:rsidRDefault="00FC30F8" w:rsidP="00184895">
            <w:pPr>
              <w:keepNext/>
              <w:keepLines/>
              <w:jc w:val="center"/>
              <w:rPr>
                <w:sz w:val="16"/>
                <w:szCs w:val="16"/>
                <w:lang w:val="en-GB"/>
              </w:rPr>
            </w:pPr>
          </w:p>
        </w:tc>
        <w:tc>
          <w:tcPr>
            <w:tcW w:w="2812" w:type="pct"/>
            <w:tcBorders>
              <w:top w:val="nil"/>
            </w:tcBorders>
          </w:tcPr>
          <w:p w14:paraId="1A4CC8B5" w14:textId="61391390" w:rsidR="00FC30F8" w:rsidRPr="00EF64EC" w:rsidRDefault="00FC30F8" w:rsidP="00184895">
            <w:pPr>
              <w:keepNext/>
              <w:keepLines/>
              <w:rPr>
                <w:sz w:val="16"/>
                <w:szCs w:val="16"/>
                <w:lang w:val="en-GB"/>
              </w:rPr>
            </w:pPr>
            <w:r w:rsidRPr="00EF64EC">
              <w:rPr>
                <w:sz w:val="16"/>
                <w:szCs w:val="16"/>
                <w:lang w:val="en-GB"/>
              </w:rPr>
              <w:t xml:space="preserve">Net attendance ratio (adjusted) for rural </w:t>
            </w:r>
            <w:r w:rsidR="003B6F62">
              <w:rPr>
                <w:sz w:val="16"/>
                <w:szCs w:val="16"/>
                <w:lang w:val="en-GB"/>
              </w:rPr>
              <w:t>r</w:t>
            </w:r>
            <w:r w:rsidRPr="00EF64EC">
              <w:rPr>
                <w:sz w:val="16"/>
                <w:szCs w:val="16"/>
                <w:lang w:val="en-GB"/>
              </w:rPr>
              <w:t>esidents</w:t>
            </w:r>
            <w:r>
              <w:rPr>
                <w:sz w:val="16"/>
                <w:szCs w:val="16"/>
                <w:lang w:val="en-GB"/>
              </w:rPr>
              <w:t xml:space="preserve"> divided by n</w:t>
            </w:r>
            <w:r w:rsidRPr="00EF64EC">
              <w:rPr>
                <w:sz w:val="16"/>
                <w:szCs w:val="16"/>
                <w:lang w:val="en-GB"/>
              </w:rPr>
              <w:t>et attendance ratio (adjusted) for urban residents</w:t>
            </w:r>
          </w:p>
          <w:p w14:paraId="0EBC9409"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primary school</w:t>
            </w:r>
          </w:p>
          <w:p w14:paraId="7387D8CC"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lower secondary school</w:t>
            </w:r>
          </w:p>
          <w:p w14:paraId="4D77FA1D" w14:textId="1F1FB9D8" w:rsidR="00FC30F8" w:rsidRPr="00EF64EC" w:rsidRDefault="00FC30F8" w:rsidP="003B6F62">
            <w:pPr>
              <w:keepNext/>
              <w:keepLines/>
              <w:numPr>
                <w:ilvl w:val="0"/>
                <w:numId w:val="24"/>
              </w:numPr>
              <w:contextualSpacing/>
              <w:rPr>
                <w:sz w:val="16"/>
                <w:szCs w:val="16"/>
                <w:lang w:val="en-GB"/>
              </w:rPr>
            </w:pPr>
            <w:r w:rsidRPr="00EF64EC">
              <w:rPr>
                <w:sz w:val="16"/>
                <w:szCs w:val="16"/>
                <w:lang w:val="en-GB"/>
              </w:rPr>
              <w:t>upper secondary school</w:t>
            </w:r>
          </w:p>
        </w:tc>
        <w:tc>
          <w:tcPr>
            <w:tcW w:w="314" w:type="pct"/>
            <w:vMerge/>
            <w:vAlign w:val="center"/>
          </w:tcPr>
          <w:p w14:paraId="0EC307A3" w14:textId="77777777" w:rsidR="00FC30F8" w:rsidRPr="00EF64EC" w:rsidRDefault="00FC30F8" w:rsidP="00184895">
            <w:pPr>
              <w:keepLines/>
              <w:jc w:val="center"/>
              <w:rPr>
                <w:sz w:val="16"/>
                <w:szCs w:val="16"/>
                <w:lang w:val="en-GB"/>
              </w:rPr>
            </w:pPr>
          </w:p>
        </w:tc>
      </w:tr>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5"/>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lastRenderedPageBreak/>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03301A3E"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676B64E8"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361A85E3"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328F3885"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33748B1F"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2D5DB48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45CCD68"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8"/>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184895">
            <w:pPr>
              <w:numPr>
                <w:ilvl w:val="0"/>
                <w:numId w:val="18"/>
              </w:numPr>
              <w:contextualSpacing/>
              <w:rPr>
                <w:sz w:val="16"/>
                <w:szCs w:val="16"/>
                <w:lang w:val="en-GB"/>
              </w:rPr>
            </w:pPr>
            <w:r>
              <w:rPr>
                <w:sz w:val="16"/>
                <w:szCs w:val="16"/>
                <w:lang w:val="en-GB"/>
              </w:rPr>
              <w:t>before age 15</w:t>
            </w:r>
          </w:p>
          <w:p w14:paraId="388E92CB" w14:textId="77777777" w:rsidR="00184895" w:rsidRDefault="00184895" w:rsidP="00184895">
            <w:pPr>
              <w:numPr>
                <w:ilvl w:val="0"/>
                <w:numId w:val="18"/>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134D1E">
            <w:pPr>
              <w:numPr>
                <w:ilvl w:val="0"/>
                <w:numId w:val="36"/>
              </w:numPr>
              <w:contextualSpacing/>
              <w:rPr>
                <w:sz w:val="16"/>
                <w:szCs w:val="16"/>
                <w:lang w:val="en-GB"/>
              </w:rPr>
            </w:pPr>
            <w:r>
              <w:rPr>
                <w:sz w:val="16"/>
                <w:szCs w:val="16"/>
                <w:lang w:val="en-GB"/>
              </w:rPr>
              <w:t>before age 15</w:t>
            </w:r>
          </w:p>
          <w:p w14:paraId="1B75D7D9" w14:textId="2B8F9EF1" w:rsidR="00134D1E" w:rsidRPr="00EF64EC" w:rsidRDefault="00134D1E" w:rsidP="00134D1E">
            <w:pPr>
              <w:numPr>
                <w:ilvl w:val="0"/>
                <w:numId w:val="3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0198DCF5"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13A9828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15D42BD0"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77777777" w:rsidR="00AB3642" w:rsidRPr="00EF64EC" w:rsidRDefault="00AB3642" w:rsidP="00AB3642">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ever emptied</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disposed in-situ or removed </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5C1378C8"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0B6471A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97EAA2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6"/>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184895">
            <w:pPr>
              <w:numPr>
                <w:ilvl w:val="0"/>
                <w:numId w:val="10"/>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14:paraId="33F33D5E"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9"/>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15-24</w:t>
            </w:r>
          </w:p>
          <w:p w14:paraId="0D1B0CA6" w14:textId="77777777" w:rsidR="00D2692E" w:rsidRDefault="00D2692E" w:rsidP="00D2692E">
            <w:pPr>
              <w:numPr>
                <w:ilvl w:val="0"/>
                <w:numId w:val="19"/>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9A660D">
            <w:pPr>
              <w:numPr>
                <w:ilvl w:val="0"/>
                <w:numId w:val="37"/>
              </w:numPr>
              <w:contextualSpacing/>
              <w:rPr>
                <w:sz w:val="16"/>
                <w:szCs w:val="16"/>
                <w:lang w:val="en-GB"/>
              </w:rPr>
            </w:pPr>
            <w:r w:rsidRPr="00EF64EC">
              <w:rPr>
                <w:sz w:val="16"/>
                <w:szCs w:val="16"/>
                <w:lang w:val="en-GB"/>
              </w:rPr>
              <w:t>age 15-24</w:t>
            </w:r>
          </w:p>
          <w:p w14:paraId="56725176" w14:textId="6CBF80FD" w:rsidR="009A660D" w:rsidRPr="00EF64EC" w:rsidRDefault="009A660D" w:rsidP="009A660D">
            <w:pPr>
              <w:numPr>
                <w:ilvl w:val="0"/>
                <w:numId w:val="3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15-24</w:t>
            </w:r>
          </w:p>
          <w:p w14:paraId="447D1CB6" w14:textId="77777777" w:rsidR="00D2692E" w:rsidRDefault="00D2692E" w:rsidP="00D2692E">
            <w:pPr>
              <w:numPr>
                <w:ilvl w:val="0"/>
                <w:numId w:val="21"/>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9A660D">
            <w:pPr>
              <w:numPr>
                <w:ilvl w:val="0"/>
                <w:numId w:val="38"/>
              </w:numPr>
              <w:contextualSpacing/>
              <w:rPr>
                <w:sz w:val="16"/>
                <w:szCs w:val="16"/>
                <w:lang w:val="en-GB"/>
              </w:rPr>
            </w:pPr>
            <w:r w:rsidRPr="00EF64EC">
              <w:rPr>
                <w:sz w:val="16"/>
                <w:szCs w:val="16"/>
                <w:lang w:val="en-GB"/>
              </w:rPr>
              <w:t>age 15-24</w:t>
            </w:r>
          </w:p>
          <w:p w14:paraId="5447EBC4" w14:textId="031E4342" w:rsidR="009A660D" w:rsidRPr="00EF64EC" w:rsidRDefault="009A660D" w:rsidP="009A660D">
            <w:pPr>
              <w:numPr>
                <w:ilvl w:val="0"/>
                <w:numId w:val="3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15-24</w:t>
            </w:r>
          </w:p>
          <w:p w14:paraId="3BAFCE4F" w14:textId="77777777" w:rsidR="00D2692E" w:rsidRDefault="00D2692E" w:rsidP="00D2692E">
            <w:pPr>
              <w:numPr>
                <w:ilvl w:val="0"/>
                <w:numId w:val="22"/>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9A660D">
            <w:pPr>
              <w:numPr>
                <w:ilvl w:val="0"/>
                <w:numId w:val="39"/>
              </w:numPr>
              <w:contextualSpacing/>
              <w:rPr>
                <w:sz w:val="16"/>
                <w:szCs w:val="16"/>
                <w:lang w:val="en-GB"/>
              </w:rPr>
            </w:pPr>
            <w:r w:rsidRPr="00EF64EC">
              <w:rPr>
                <w:sz w:val="16"/>
                <w:szCs w:val="16"/>
                <w:lang w:val="en-GB"/>
              </w:rPr>
              <w:t>age 15-24</w:t>
            </w:r>
          </w:p>
          <w:p w14:paraId="3A4174EB" w14:textId="67A71E0C" w:rsidR="009A660D" w:rsidRPr="00EF64EC" w:rsidRDefault="009A660D" w:rsidP="009A660D">
            <w:pPr>
              <w:numPr>
                <w:ilvl w:val="0"/>
                <w:numId w:val="3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3185" w14:textId="77777777" w:rsidR="0039710C" w:rsidRDefault="0039710C" w:rsidP="00184895">
      <w:r>
        <w:separator/>
      </w:r>
    </w:p>
  </w:endnote>
  <w:endnote w:type="continuationSeparator" w:id="0">
    <w:p w14:paraId="588E8DA7" w14:textId="77777777" w:rsidR="0039710C" w:rsidRDefault="0039710C"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2225" w14:textId="77777777" w:rsidR="0039710C" w:rsidRDefault="0039710C" w:rsidP="00184895">
      <w:r>
        <w:separator/>
      </w:r>
    </w:p>
  </w:footnote>
  <w:footnote w:type="continuationSeparator" w:id="0">
    <w:p w14:paraId="126C02F8" w14:textId="77777777" w:rsidR="0039710C" w:rsidRDefault="0039710C" w:rsidP="00184895">
      <w:r>
        <w:continuationSeparator/>
      </w:r>
    </w:p>
  </w:footnote>
  <w:footnote w:id="1">
    <w:p w14:paraId="2D7C934D"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39710C" w:rsidRPr="00363A4A" w:rsidRDefault="0039710C"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39710C" w:rsidRPr="008B2A8A" w:rsidRDefault="0039710C"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3528322B" w:rsidR="0039710C" w:rsidRPr="008B2A8A" w:rsidRDefault="0039710C"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6">
    <w:p w14:paraId="77B96915" w14:textId="0A0C4803" w:rsidR="0039710C" w:rsidRDefault="0039710C">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7">
    <w:p w14:paraId="64997E2B" w14:textId="77777777" w:rsidR="0039710C" w:rsidRPr="008B2A8A" w:rsidRDefault="0039710C"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14:paraId="6F8A2F5B"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14:paraId="234799F1"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14:paraId="0CE96AFA" w14:textId="03F7FF37" w:rsidR="0039710C" w:rsidRPr="008B2A8A" w:rsidRDefault="0039710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14:paraId="0ACF7516" w14:textId="77777777" w:rsidR="0039710C" w:rsidRPr="008B2A8A" w:rsidRDefault="0039710C" w:rsidP="00181D20">
      <w:pPr>
        <w:pStyle w:val="FootnoteText"/>
        <w:rPr>
          <w:sz w:val="16"/>
          <w:szCs w:val="16"/>
        </w:rPr>
      </w:pPr>
      <w:r w:rsidRPr="008B2A8A">
        <w:rPr>
          <w:rStyle w:val="FootnoteReference"/>
          <w:sz w:val="16"/>
          <w:szCs w:val="16"/>
        </w:rPr>
        <w:footnoteRef/>
      </w:r>
      <w:r>
        <w:rPr>
          <w:rStyle w:val="FootnoteReference"/>
          <w:sz w:val="16"/>
          <w:szCs w:val="16"/>
        </w:rPr>
        <w:t xml:space="preserve"> </w:t>
      </w:r>
      <w:r>
        <w:rPr>
          <w:sz w:val="16"/>
          <w:szCs w:val="16"/>
        </w:rPr>
        <w:t>Basic vaccinations include: BCG, 3 doses of polio, 3 doses of DTP and 1 dose of measles vaccination. All vaccinations include all doses of</w:t>
      </w:r>
      <w:r w:rsidRPr="008B2A8A">
        <w:rPr>
          <w:sz w:val="16"/>
          <w:szCs w:val="16"/>
        </w:rPr>
        <w:t xml:space="preserve"> vaccination</w:t>
      </w:r>
      <w:r>
        <w:rPr>
          <w:sz w:val="16"/>
          <w:szCs w:val="16"/>
        </w:rPr>
        <w:t>s recommended for children under age 2 years in the national</w:t>
      </w:r>
      <w:r w:rsidRPr="008B2A8A">
        <w:rPr>
          <w:sz w:val="16"/>
          <w:szCs w:val="16"/>
        </w:rPr>
        <w:t xml:space="preserve"> schedule</w:t>
      </w:r>
      <w:r>
        <w:rPr>
          <w:sz w:val="16"/>
          <w:szCs w:val="16"/>
        </w:rPr>
        <w:t>.</w:t>
      </w:r>
    </w:p>
  </w:footnote>
  <w:footnote w:id="12">
    <w:p w14:paraId="77C85ACF" w14:textId="538E650B" w:rsidR="0039710C" w:rsidRPr="00D80AE4" w:rsidRDefault="0039710C">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3">
    <w:p w14:paraId="33E35F32"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 and medicines</w:t>
      </w:r>
    </w:p>
  </w:footnote>
  <w:footnote w:id="14">
    <w:p w14:paraId="34C7D1B7"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w:t>
      </w:r>
      <w:proofErr w:type="gramStart"/>
      <w:r w:rsidRPr="008B2A8A">
        <w:rPr>
          <w:sz w:val="16"/>
          <w:szCs w:val="16"/>
        </w:rPr>
        <w:t>in particular, non-</w:t>
      </w:r>
      <w:proofErr w:type="gramEnd"/>
      <w:r w:rsidRPr="008B2A8A">
        <w:rPr>
          <w:sz w:val="16"/>
          <w:szCs w:val="16"/>
        </w:rPr>
        <w:t>human milk and food-based fluids)</w:t>
      </w:r>
    </w:p>
  </w:footnote>
  <w:footnote w:id="15">
    <w:p w14:paraId="70C51712"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6">
    <w:p w14:paraId="5412F337"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4"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4"/>
    </w:p>
  </w:footnote>
  <w:footnote w:id="17">
    <w:p w14:paraId="7609718C" w14:textId="77777777" w:rsidR="0039710C" w:rsidRPr="008B2A8A" w:rsidRDefault="0039710C"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8">
    <w:p w14:paraId="63560FA1" w14:textId="7BF96637" w:rsidR="0039710C" w:rsidRPr="008B2A8A" w:rsidRDefault="0039710C"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 xml:space="preserve">Children involved in child labour are defined as children involved in economic activities above the age-specific thresholds, children involved in household chores above the age-specific thresholds, and children involved in hazardous work. See </w:t>
      </w:r>
      <w:r>
        <w:rPr>
          <w:sz w:val="16"/>
          <w:szCs w:val="16"/>
          <w:lang w:val="en-GB"/>
        </w:rPr>
        <w:t>Tables PR.3.1-3</w:t>
      </w:r>
      <w:r w:rsidRPr="008B2A8A">
        <w:rPr>
          <w:sz w:val="16"/>
          <w:szCs w:val="16"/>
          <w:lang w:val="en-GB"/>
        </w:rPr>
        <w:t xml:space="preserve"> for more detailed information on thresholds and classifications</w:t>
      </w:r>
      <w:r>
        <w:rPr>
          <w:sz w:val="16"/>
          <w:szCs w:val="16"/>
          <w:lang w:val="en-GB"/>
        </w:rPr>
        <w:t>.</w:t>
      </w:r>
    </w:p>
  </w:footnote>
  <w:footnote w:id="19">
    <w:p w14:paraId="77A2726B" w14:textId="77777777" w:rsidR="0039710C" w:rsidRPr="006C79D6" w:rsidRDefault="0039710C"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40F78"/>
    <w:multiLevelType w:val="hybridMultilevel"/>
    <w:tmpl w:val="B1EC328A"/>
    <w:lvl w:ilvl="0" w:tplc="62C217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42"/>
  </w:num>
  <w:num w:numId="4">
    <w:abstractNumId w:val="33"/>
  </w:num>
  <w:num w:numId="5">
    <w:abstractNumId w:val="24"/>
  </w:num>
  <w:num w:numId="6">
    <w:abstractNumId w:val="17"/>
  </w:num>
  <w:num w:numId="7">
    <w:abstractNumId w:val="39"/>
  </w:num>
  <w:num w:numId="8">
    <w:abstractNumId w:val="7"/>
  </w:num>
  <w:num w:numId="9">
    <w:abstractNumId w:val="6"/>
  </w:num>
  <w:num w:numId="10">
    <w:abstractNumId w:val="34"/>
  </w:num>
  <w:num w:numId="11">
    <w:abstractNumId w:val="31"/>
  </w:num>
  <w:num w:numId="12">
    <w:abstractNumId w:val="43"/>
  </w:num>
  <w:num w:numId="13">
    <w:abstractNumId w:val="14"/>
  </w:num>
  <w:num w:numId="14">
    <w:abstractNumId w:val="11"/>
  </w:num>
  <w:num w:numId="15">
    <w:abstractNumId w:val="10"/>
  </w:num>
  <w:num w:numId="16">
    <w:abstractNumId w:val="15"/>
  </w:num>
  <w:num w:numId="17">
    <w:abstractNumId w:val="2"/>
  </w:num>
  <w:num w:numId="18">
    <w:abstractNumId w:val="0"/>
  </w:num>
  <w:num w:numId="19">
    <w:abstractNumId w:val="37"/>
  </w:num>
  <w:num w:numId="20">
    <w:abstractNumId w:val="9"/>
  </w:num>
  <w:num w:numId="21">
    <w:abstractNumId w:val="25"/>
  </w:num>
  <w:num w:numId="22">
    <w:abstractNumId w:val="44"/>
  </w:num>
  <w:num w:numId="23">
    <w:abstractNumId w:val="1"/>
  </w:num>
  <w:num w:numId="24">
    <w:abstractNumId w:val="18"/>
  </w:num>
  <w:num w:numId="25">
    <w:abstractNumId w:val="26"/>
  </w:num>
  <w:num w:numId="26">
    <w:abstractNumId w:val="19"/>
  </w:num>
  <w:num w:numId="27">
    <w:abstractNumId w:val="40"/>
  </w:num>
  <w:num w:numId="28">
    <w:abstractNumId w:val="16"/>
  </w:num>
  <w:num w:numId="29">
    <w:abstractNumId w:val="36"/>
  </w:num>
  <w:num w:numId="30">
    <w:abstractNumId w:val="27"/>
  </w:num>
  <w:num w:numId="31">
    <w:abstractNumId w:val="20"/>
  </w:num>
  <w:num w:numId="32">
    <w:abstractNumId w:val="13"/>
  </w:num>
  <w:num w:numId="33">
    <w:abstractNumId w:val="12"/>
  </w:num>
  <w:num w:numId="34">
    <w:abstractNumId w:val="23"/>
  </w:num>
  <w:num w:numId="35">
    <w:abstractNumId w:val="38"/>
  </w:num>
  <w:num w:numId="36">
    <w:abstractNumId w:val="29"/>
  </w:num>
  <w:num w:numId="37">
    <w:abstractNumId w:val="4"/>
  </w:num>
  <w:num w:numId="38">
    <w:abstractNumId w:val="22"/>
  </w:num>
  <w:num w:numId="39">
    <w:abstractNumId w:val="8"/>
  </w:num>
  <w:num w:numId="40">
    <w:abstractNumId w:val="5"/>
  </w:num>
  <w:num w:numId="41">
    <w:abstractNumId w:val="3"/>
  </w:num>
  <w:num w:numId="42">
    <w:abstractNumId w:val="32"/>
  </w:num>
  <w:num w:numId="43">
    <w:abstractNumId w:val="28"/>
  </w:num>
  <w:num w:numId="44">
    <w:abstractNumId w:val="45"/>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50DA8"/>
    <w:rsid w:val="00051944"/>
    <w:rsid w:val="000B7FC1"/>
    <w:rsid w:val="000C1691"/>
    <w:rsid w:val="00105B93"/>
    <w:rsid w:val="00106859"/>
    <w:rsid w:val="00132DF3"/>
    <w:rsid w:val="00134D1E"/>
    <w:rsid w:val="00137AB1"/>
    <w:rsid w:val="00141B0F"/>
    <w:rsid w:val="00154B31"/>
    <w:rsid w:val="001776E1"/>
    <w:rsid w:val="00181D20"/>
    <w:rsid w:val="00184895"/>
    <w:rsid w:val="001A14C1"/>
    <w:rsid w:val="001A70DF"/>
    <w:rsid w:val="001B68BF"/>
    <w:rsid w:val="001D6BB4"/>
    <w:rsid w:val="001E047F"/>
    <w:rsid w:val="001E2DE2"/>
    <w:rsid w:val="001E5A5A"/>
    <w:rsid w:val="001F1AE0"/>
    <w:rsid w:val="00205186"/>
    <w:rsid w:val="002203AD"/>
    <w:rsid w:val="002324A2"/>
    <w:rsid w:val="00235EE7"/>
    <w:rsid w:val="00242B72"/>
    <w:rsid w:val="00272C27"/>
    <w:rsid w:val="002B5320"/>
    <w:rsid w:val="002C55D7"/>
    <w:rsid w:val="002D50FB"/>
    <w:rsid w:val="003077C6"/>
    <w:rsid w:val="0031206E"/>
    <w:rsid w:val="003234FD"/>
    <w:rsid w:val="0036798D"/>
    <w:rsid w:val="00383BC1"/>
    <w:rsid w:val="0039710C"/>
    <w:rsid w:val="003B663B"/>
    <w:rsid w:val="003B6F62"/>
    <w:rsid w:val="003D13FC"/>
    <w:rsid w:val="003E4A35"/>
    <w:rsid w:val="00401399"/>
    <w:rsid w:val="00405CF5"/>
    <w:rsid w:val="00430C40"/>
    <w:rsid w:val="0043710B"/>
    <w:rsid w:val="00437B9F"/>
    <w:rsid w:val="00462834"/>
    <w:rsid w:val="004758A0"/>
    <w:rsid w:val="004A13D7"/>
    <w:rsid w:val="004E7035"/>
    <w:rsid w:val="004F5F51"/>
    <w:rsid w:val="00534E44"/>
    <w:rsid w:val="00546AC1"/>
    <w:rsid w:val="005610EF"/>
    <w:rsid w:val="005748F3"/>
    <w:rsid w:val="00582E46"/>
    <w:rsid w:val="00594265"/>
    <w:rsid w:val="00597A44"/>
    <w:rsid w:val="005A4153"/>
    <w:rsid w:val="005A6AF0"/>
    <w:rsid w:val="005B7D3F"/>
    <w:rsid w:val="005C31BF"/>
    <w:rsid w:val="00610895"/>
    <w:rsid w:val="00615DF6"/>
    <w:rsid w:val="006611B3"/>
    <w:rsid w:val="00676898"/>
    <w:rsid w:val="00685CE8"/>
    <w:rsid w:val="006C68A3"/>
    <w:rsid w:val="006D693B"/>
    <w:rsid w:val="006E67CB"/>
    <w:rsid w:val="006F0E57"/>
    <w:rsid w:val="006F4878"/>
    <w:rsid w:val="006F573F"/>
    <w:rsid w:val="0070159F"/>
    <w:rsid w:val="007079A3"/>
    <w:rsid w:val="00730A42"/>
    <w:rsid w:val="00732671"/>
    <w:rsid w:val="007350A2"/>
    <w:rsid w:val="00736235"/>
    <w:rsid w:val="007615CA"/>
    <w:rsid w:val="00770243"/>
    <w:rsid w:val="00784509"/>
    <w:rsid w:val="007D3335"/>
    <w:rsid w:val="007E3182"/>
    <w:rsid w:val="007E4501"/>
    <w:rsid w:val="00834D52"/>
    <w:rsid w:val="00840927"/>
    <w:rsid w:val="00847703"/>
    <w:rsid w:val="00860C8E"/>
    <w:rsid w:val="0086256C"/>
    <w:rsid w:val="008762A2"/>
    <w:rsid w:val="00877731"/>
    <w:rsid w:val="008A54BC"/>
    <w:rsid w:val="008B2E57"/>
    <w:rsid w:val="008B730A"/>
    <w:rsid w:val="008D2004"/>
    <w:rsid w:val="008E308B"/>
    <w:rsid w:val="008E7AD8"/>
    <w:rsid w:val="008F46EB"/>
    <w:rsid w:val="009451D2"/>
    <w:rsid w:val="009646F2"/>
    <w:rsid w:val="00985A56"/>
    <w:rsid w:val="00990B36"/>
    <w:rsid w:val="009A660D"/>
    <w:rsid w:val="009B1816"/>
    <w:rsid w:val="009B1BA0"/>
    <w:rsid w:val="009E7092"/>
    <w:rsid w:val="009F1057"/>
    <w:rsid w:val="009F206D"/>
    <w:rsid w:val="00A02465"/>
    <w:rsid w:val="00A25598"/>
    <w:rsid w:val="00A30F73"/>
    <w:rsid w:val="00A32C13"/>
    <w:rsid w:val="00A40942"/>
    <w:rsid w:val="00AA4FB2"/>
    <w:rsid w:val="00AB112D"/>
    <w:rsid w:val="00AB3642"/>
    <w:rsid w:val="00AC69D1"/>
    <w:rsid w:val="00AE7C6C"/>
    <w:rsid w:val="00AF20DE"/>
    <w:rsid w:val="00AF3ABE"/>
    <w:rsid w:val="00B01D13"/>
    <w:rsid w:val="00B03F1C"/>
    <w:rsid w:val="00B10FF2"/>
    <w:rsid w:val="00B27174"/>
    <w:rsid w:val="00B45A33"/>
    <w:rsid w:val="00B84032"/>
    <w:rsid w:val="00BB1D5D"/>
    <w:rsid w:val="00BF10B7"/>
    <w:rsid w:val="00BF278B"/>
    <w:rsid w:val="00C10E01"/>
    <w:rsid w:val="00C1732B"/>
    <w:rsid w:val="00C705C5"/>
    <w:rsid w:val="00D02076"/>
    <w:rsid w:val="00D16406"/>
    <w:rsid w:val="00D2146A"/>
    <w:rsid w:val="00D24DB4"/>
    <w:rsid w:val="00D2692E"/>
    <w:rsid w:val="00D27C4B"/>
    <w:rsid w:val="00D417FC"/>
    <w:rsid w:val="00D473FE"/>
    <w:rsid w:val="00D507BD"/>
    <w:rsid w:val="00D5588F"/>
    <w:rsid w:val="00D80AE4"/>
    <w:rsid w:val="00D86D5F"/>
    <w:rsid w:val="00DC15EB"/>
    <w:rsid w:val="00DC79D6"/>
    <w:rsid w:val="00E04BEC"/>
    <w:rsid w:val="00E07609"/>
    <w:rsid w:val="00E3457B"/>
    <w:rsid w:val="00E503CF"/>
    <w:rsid w:val="00E627AF"/>
    <w:rsid w:val="00E70A0F"/>
    <w:rsid w:val="00E713AF"/>
    <w:rsid w:val="00EB541F"/>
    <w:rsid w:val="00EC1F0A"/>
    <w:rsid w:val="00ED1463"/>
    <w:rsid w:val="00ED3902"/>
    <w:rsid w:val="00ED517D"/>
    <w:rsid w:val="00F02A09"/>
    <w:rsid w:val="00F24917"/>
    <w:rsid w:val="00F37CB3"/>
    <w:rsid w:val="00F40057"/>
    <w:rsid w:val="00F50585"/>
    <w:rsid w:val="00F62E3A"/>
    <w:rsid w:val="00F7185D"/>
    <w:rsid w:val="00F77AD7"/>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EAA8-F821-4D83-9E14-D71B5D19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2018-12-06T06:54:00Z</dcterms:created>
  <dcterms:modified xsi:type="dcterms:W3CDTF">2019-01-02T17:31:00Z</dcterms:modified>
</cp:coreProperties>
</file>