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bidiVisual w:val="on"/>
        <w:tblW w:w="9242"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242"/>
      </w:tblGrid>
      <w:tr>
        <w:tblPrEx>
          <w:shd w:val="clear" w:color="auto" w:fill="auto"/>
        </w:tblPrEx>
        <w:trPr>
          <w:trHeight w:val="24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المفهوم الشخصي للرفاهية</w:t>
            </w:r>
          </w:p>
        </w:tc>
      </w:tr>
      <w:tr>
        <w:tblPrEx>
          <w:shd w:val="clear" w:color="auto" w:fill="auto"/>
        </w:tblPrEx>
        <w:trPr>
          <w:trHeight w:val="24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المحتويات</w:t>
            </w:r>
          </w:p>
        </w:tc>
      </w:tr>
      <w:tr>
        <w:tblPrEx>
          <w:shd w:val="clear" w:color="auto" w:fill="auto"/>
        </w:tblPrEx>
        <w:trPr>
          <w:trHeight w:val="241"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SW.1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مجالات وجوانب الرضا المعيشي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النساء</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270"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جدول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SW.1M</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مجالات وجوانب الرضا المعيشي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للرجال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270"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SW.2</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السعادة والرضا المعيشي بشكل عام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النساء</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270"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جدول</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:SW.2M</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السعادة والرضا المعيشي بشكل عام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الرجال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270"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SW.3</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تصور وتوقع حياة أفضل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النساء</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270"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SW.3M</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تصور وتوقع حياة أفضل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الرجال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tc>
      </w:tr>
    </w:tbl>
    <w:p>
      <w:pPr>
        <w:pStyle w:val="Body"/>
        <w:widowControl w:val="0"/>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bidiVisual w:val="on"/>
        <w:tblW w:w="1161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70"/>
        <w:gridCol w:w="450"/>
        <w:gridCol w:w="450"/>
        <w:gridCol w:w="450"/>
        <w:gridCol w:w="540"/>
        <w:gridCol w:w="540"/>
        <w:gridCol w:w="540"/>
        <w:gridCol w:w="540"/>
        <w:gridCol w:w="450"/>
        <w:gridCol w:w="360"/>
        <w:gridCol w:w="540"/>
        <w:gridCol w:w="1080"/>
        <w:gridCol w:w="810"/>
        <w:gridCol w:w="990"/>
        <w:gridCol w:w="810"/>
        <w:gridCol w:w="990"/>
        <w:gridCol w:w="900"/>
      </w:tblGrid>
      <w:tr>
        <w:tblPrEx>
          <w:shd w:val="clear" w:color="auto" w:fill="auto"/>
        </w:tblPrEx>
        <w:trPr>
          <w:trHeight w:val="270" w:hRule="atLeast"/>
        </w:trPr>
        <w:tc>
          <w:tcPr>
            <w:tcW w:type="dxa" w:w="11610"/>
            <w:gridSpan w:val="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SW.1</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مجالات وجوانب الرضا المعيشي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النساء</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243" w:hRule="atLeast"/>
        </w:trPr>
        <w:tc>
          <w:tcPr>
            <w:tcW w:type="dxa" w:w="11610"/>
            <w:gridSpan w:val="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15-24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الراضيات أو راضيات إلى حد ما في مجالات معينة من الرضا المعيشي،</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1201" w:hRule="atLeast"/>
        </w:trPr>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من عمر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15- 24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سنة الراضيات تماماً أو راضيات إلى حد ما في مجالات معينة من الرضا المعيشي</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35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من عمر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15- 24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سنة من اللاتي</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5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spacing w:after="0" w:line="240" w:lineRule="auto"/>
              <w:ind w:left="113" w:right="113"/>
              <w:jc w:val="cente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0"/>
                <w:szCs w:val="20"/>
                <w:u w:val="none" w:color="000000"/>
                <w:vertAlign w:val="baseline"/>
                <w:rtl w:val="1"/>
                <w:lang w:val="ar-SA" w:bidi="ar-SA"/>
              </w:rPr>
              <w:t xml:space="preserve">15- 24 </w:t>
            </w: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سنة</w:t>
            </w:r>
          </w:p>
        </w:tc>
        <w:tc>
          <w:tcPr>
            <w:tcW w:type="dxa" w:w="108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spacing w:after="0" w:line="240" w:lineRule="auto"/>
              <w:ind w:left="113" w:right="113"/>
              <w:jc w:val="cente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 xml:space="preserve">نسبة النساء من عمر </w:t>
            </w:r>
            <w:r>
              <w:rPr>
                <w:rFonts w:ascii="Times New Roman"/>
                <w:caps w:val="0"/>
                <w:smallCaps w:val="0"/>
                <w:strike w:val="0"/>
                <w:dstrike w:val="0"/>
                <w:outline w:val="0"/>
                <w:color w:val="000000"/>
                <w:spacing w:val="0"/>
                <w:kern w:val="0"/>
                <w:position w:val="0"/>
                <w:sz w:val="20"/>
                <w:szCs w:val="20"/>
                <w:u w:val="none" w:color="000000"/>
                <w:vertAlign w:val="baseline"/>
                <w:rtl w:val="1"/>
                <w:lang w:val="ar-SA" w:bidi="ar-SA"/>
              </w:rPr>
              <w:t xml:space="preserve">15- 24 </w:t>
            </w: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سنة من اللاتي هنّ راضيات إلى حد ما بالذهاب إلى المدرسة</w:t>
            </w:r>
          </w:p>
        </w:tc>
        <w:tc>
          <w:tcPr>
            <w:tcW w:type="dxa" w:w="8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spacing w:after="0" w:line="240" w:lineRule="auto"/>
              <w:ind w:left="113" w:right="113"/>
              <w:jc w:val="cente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0"/>
                <w:szCs w:val="20"/>
                <w:u w:val="none" w:color="000000"/>
                <w:vertAlign w:val="baseline"/>
                <w:rtl w:val="1"/>
                <w:lang w:val="ar-SA" w:bidi="ar-SA"/>
              </w:rPr>
              <w:t xml:space="preserve">15- 24 </w:t>
            </w: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سنة من اللاتي يرتدن المدرسة</w:t>
            </w:r>
          </w:p>
        </w:tc>
        <w:tc>
          <w:tcPr>
            <w:tcW w:type="dxa" w:w="99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spacing w:after="0" w:line="240" w:lineRule="auto"/>
              <w:ind w:left="113" w:right="113"/>
              <w:jc w:val="cente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 xml:space="preserve">نسبة النساء من عمر </w:t>
            </w:r>
            <w:r>
              <w:rPr>
                <w:rFonts w:ascii="Times New Roman"/>
                <w:caps w:val="0"/>
                <w:smallCaps w:val="0"/>
                <w:strike w:val="0"/>
                <w:dstrike w:val="0"/>
                <w:outline w:val="0"/>
                <w:color w:val="000000"/>
                <w:spacing w:val="0"/>
                <w:kern w:val="0"/>
                <w:position w:val="0"/>
                <w:sz w:val="20"/>
                <w:szCs w:val="20"/>
                <w:u w:val="none" w:color="000000"/>
                <w:vertAlign w:val="baseline"/>
                <w:rtl w:val="1"/>
                <w:lang w:val="ar-SA" w:bidi="ar-SA"/>
              </w:rPr>
              <w:t xml:space="preserve">15- 24 </w:t>
            </w: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سنة من اللاتي هنّ راضيات إلى حد ما بعملهنّ</w:t>
            </w:r>
          </w:p>
        </w:tc>
        <w:tc>
          <w:tcPr>
            <w:tcW w:type="dxa" w:w="8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spacing w:after="0" w:line="240" w:lineRule="auto"/>
              <w:ind w:left="113" w:right="113"/>
              <w:jc w:val="cente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0"/>
                <w:szCs w:val="20"/>
                <w:u w:val="none" w:color="000000"/>
                <w:vertAlign w:val="baseline"/>
                <w:rtl w:val="1"/>
                <w:lang w:val="ar-SA" w:bidi="ar-SA"/>
              </w:rPr>
              <w:t xml:space="preserve">15- 24 </w:t>
            </w: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سنة من اللاتي لديهن عمل</w:t>
            </w:r>
          </w:p>
        </w:tc>
        <w:tc>
          <w:tcPr>
            <w:tcW w:type="dxa" w:w="99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spacing w:after="0" w:line="240" w:lineRule="auto"/>
              <w:ind w:left="113" w:right="113"/>
              <w:jc w:val="cente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 xml:space="preserve">نسبة النساء من عمر </w:t>
            </w:r>
            <w:r>
              <w:rPr>
                <w:rFonts w:ascii="Times New Roman"/>
                <w:caps w:val="0"/>
                <w:smallCaps w:val="0"/>
                <w:strike w:val="0"/>
                <w:dstrike w:val="0"/>
                <w:outline w:val="0"/>
                <w:color w:val="000000"/>
                <w:spacing w:val="0"/>
                <w:kern w:val="0"/>
                <w:position w:val="0"/>
                <w:sz w:val="20"/>
                <w:szCs w:val="20"/>
                <w:u w:val="none" w:color="000000"/>
                <w:vertAlign w:val="baseline"/>
                <w:rtl w:val="1"/>
                <w:lang w:val="ar-SA" w:bidi="ar-SA"/>
              </w:rPr>
              <w:t xml:space="preserve">15- 24 </w:t>
            </w: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سنة من اللاتي هنّ راضيات إلى حد ما بدخلهن</w:t>
            </w:r>
          </w:p>
        </w:tc>
        <w:tc>
          <w:tcPr>
            <w:tcW w:type="dxa" w:w="90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spacing w:after="0" w:line="240" w:lineRule="auto"/>
              <w:ind w:left="113" w:right="113"/>
              <w:jc w:val="cente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0"/>
                <w:szCs w:val="20"/>
                <w:u w:val="none" w:color="000000"/>
                <w:vertAlign w:val="baseline"/>
                <w:rtl w:val="1"/>
                <w:lang w:val="ar-SA" w:bidi="ar-SA"/>
              </w:rPr>
              <w:t xml:space="preserve">15- 24 </w:t>
            </w: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سنة من اللاتي لديهن دخل</w:t>
            </w:r>
          </w:p>
        </w:tc>
      </w:tr>
      <w:tr>
        <w:tblPrEx>
          <w:shd w:val="clear" w:color="auto" w:fill="auto"/>
        </w:tblPrEx>
        <w:trPr>
          <w:trHeight w:val="2381" w:hRule="atLeast"/>
        </w:trPr>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spacing w:after="0" w:line="240" w:lineRule="auto"/>
              <w:ind w:left="113" w:right="113"/>
              <w:jc w:val="cente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الحياة العائلية</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spacing w:after="0" w:line="240" w:lineRule="auto"/>
              <w:ind w:left="113" w:right="113"/>
              <w:jc w:val="cente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الصداقة</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spacing w:after="0" w:line="240" w:lineRule="auto"/>
              <w:ind w:left="113" w:right="113"/>
              <w:jc w:val="cente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الصحة</w:t>
            </w: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spacing w:after="0" w:line="240" w:lineRule="auto"/>
              <w:ind w:left="113" w:right="113"/>
              <w:jc w:val="cente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البيئة المعيشية</w:t>
            </w: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spacing w:after="0" w:line="240" w:lineRule="auto"/>
              <w:ind w:left="113" w:right="113"/>
              <w:jc w:val="cente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معاملة الآخرين</w:t>
            </w: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spacing w:after="0" w:line="240" w:lineRule="auto"/>
              <w:ind w:left="113" w:right="113"/>
              <w:jc w:val="cente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مظهرهن الشخصي</w:t>
            </w: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spacing w:after="0" w:line="240" w:lineRule="auto"/>
              <w:ind w:left="113" w:right="113"/>
              <w:jc w:val="cente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يرتدن المدرسة</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spacing w:after="0" w:line="240" w:lineRule="auto"/>
              <w:ind w:left="113" w:right="113"/>
              <w:jc w:val="cente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لديهن عمل</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spacing w:after="0" w:line="240" w:lineRule="auto"/>
              <w:ind w:left="113" w:right="113"/>
              <w:jc w:val="cente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لديهن دخل</w:t>
            </w:r>
          </w:p>
        </w:tc>
        <w:tc>
          <w:tcPr>
            <w:tcW w:type="dxa" w:w="5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8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4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15- 19</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20- 24</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الحالة الاجتماعية</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4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متزوجة سابقاً</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لديها ارتياط زوجي سابق</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9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متزوجة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ليس لديها ارتباط أبدً</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ابتدائي</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ثانوي</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عالي</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خمس مؤشر الثروة</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5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لغة</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عرق رب الأسرة</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234" w:hRule="atLeast"/>
        </w:trPr>
        <w:tc>
          <w:tcPr>
            <w:tcW w:type="dxa" w:w="11610"/>
            <w:gridSpan w:val="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15-24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الراضيات تماماً أو إلى حد ما في مجالات وجوانب معينة هنّ صاحبات الإجابة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على الأسئلة المتعلقة بالحياة الأسرية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LS3</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والصداقات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LS4</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والصحة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LS8</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والبيئة المعيشية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LS9</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والمعاملة من قبل الآخرين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LS10</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ومظهرهن الشخصي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LS11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والمدرسة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LS6</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وكذلك العمل الحالي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LS7</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والدخل الحالي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LS13</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النساء اللاتي لا يذهبن إلى المدرسة واللاتي ليس لديهن وظيفة واللاتي ليس لديهن أي دخل يندرجن في ما يلي</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LS5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2</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LS7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0</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LS13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0</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على التوالي</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لا تشمل العديد من المسوحات أحجام العينات التي من شأنها أن تغطي النقص الظاهر في الجدول، وبالإضافة إلى المستوى المحدود للفئة العمرية للنساء اللاتي يشملهنّ الجدول ، فإن العديد من النساء في هذه الفئة العمرية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(15-24)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لا يذهبن إلى المدرسة، أو قد لا يكون لهن وظيفة أو دخل حالي</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فبالنسبة لهذه المجالات، قد تكون القواسم صغيرة، وبالتالي فإنه قد لا يتم وضع القائمة اليمنى من الجدول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bidiVisual w:val="on"/>
        <w:tblW w:w="1161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350"/>
        <w:gridCol w:w="450"/>
        <w:gridCol w:w="450"/>
        <w:gridCol w:w="450"/>
        <w:gridCol w:w="540"/>
        <w:gridCol w:w="540"/>
        <w:gridCol w:w="540"/>
        <w:gridCol w:w="540"/>
        <w:gridCol w:w="450"/>
        <w:gridCol w:w="360"/>
        <w:gridCol w:w="540"/>
        <w:gridCol w:w="1080"/>
        <w:gridCol w:w="810"/>
        <w:gridCol w:w="810"/>
        <w:gridCol w:w="810"/>
        <w:gridCol w:w="1170"/>
        <w:gridCol w:w="720"/>
      </w:tblGrid>
      <w:tr>
        <w:tblPrEx>
          <w:shd w:val="clear" w:color="auto" w:fill="auto"/>
        </w:tblPrEx>
        <w:trPr>
          <w:trHeight w:val="270" w:hRule="atLeast"/>
        </w:trPr>
        <w:tc>
          <w:tcPr>
            <w:tcW w:type="dxa" w:w="11610"/>
            <w:gridSpan w:val="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SW.1M</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مجالات وجوانب الرضا المعيشي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الرجال</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483" w:hRule="atLeast"/>
        </w:trPr>
        <w:tc>
          <w:tcPr>
            <w:tcW w:type="dxa" w:w="11610"/>
            <w:gridSpan w:val="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الرجال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15-24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الذين هم راضون تماماً أو لديهم بعض من الرضا إلى حد ما في مجالات وجوانب رضا معيشي معينة،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1201" w:hRule="atLeast"/>
        </w:trPr>
        <w:tc>
          <w:tcPr>
            <w:tcW w:type="dxa" w:w="135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الرجال من عمر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15- 24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سنة الذين هم راضون تماماً أو لديهم بعض من الرضا إلى حد ما في مجالات رضا معيشي معينة</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35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الرجال من عمر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15- 24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سنة من الذين</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5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spacing w:after="0" w:line="240" w:lineRule="auto"/>
              <w:ind w:left="113" w:right="113"/>
              <w:jc w:val="cente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 xml:space="preserve">عدد الرجال من عمر </w:t>
            </w:r>
            <w:r>
              <w:rPr>
                <w:rFonts w:ascii="Times New Roman"/>
                <w:caps w:val="0"/>
                <w:smallCaps w:val="0"/>
                <w:strike w:val="0"/>
                <w:dstrike w:val="0"/>
                <w:outline w:val="0"/>
                <w:color w:val="000000"/>
                <w:spacing w:val="0"/>
                <w:kern w:val="0"/>
                <w:position w:val="0"/>
                <w:sz w:val="20"/>
                <w:szCs w:val="20"/>
                <w:u w:val="none" w:color="000000"/>
                <w:vertAlign w:val="baseline"/>
                <w:rtl w:val="1"/>
                <w:lang w:val="ar-SA" w:bidi="ar-SA"/>
              </w:rPr>
              <w:t xml:space="preserve">15- 24 </w:t>
            </w: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سنة</w:t>
            </w:r>
          </w:p>
        </w:tc>
        <w:tc>
          <w:tcPr>
            <w:tcW w:type="dxa" w:w="108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spacing w:after="0" w:line="240" w:lineRule="auto"/>
              <w:ind w:left="113" w:right="113"/>
              <w:jc w:val="cente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 xml:space="preserve">نسبة الرجال من عمر </w:t>
            </w:r>
            <w:r>
              <w:rPr>
                <w:rFonts w:ascii="Times New Roman"/>
                <w:caps w:val="0"/>
                <w:smallCaps w:val="0"/>
                <w:strike w:val="0"/>
                <w:dstrike w:val="0"/>
                <w:outline w:val="0"/>
                <w:color w:val="000000"/>
                <w:spacing w:val="0"/>
                <w:kern w:val="0"/>
                <w:position w:val="0"/>
                <w:sz w:val="20"/>
                <w:szCs w:val="20"/>
                <w:u w:val="none" w:color="000000"/>
                <w:vertAlign w:val="baseline"/>
                <w:rtl w:val="1"/>
                <w:lang w:val="ar-SA" w:bidi="ar-SA"/>
              </w:rPr>
              <w:t xml:space="preserve">15- 24 </w:t>
            </w: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سنة من الذين هم راضةن إلى حد ما بالحضور إلى المدرسة</w:t>
            </w:r>
          </w:p>
        </w:tc>
        <w:tc>
          <w:tcPr>
            <w:tcW w:type="dxa" w:w="8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spacing w:after="0" w:line="240" w:lineRule="auto"/>
              <w:ind w:left="113" w:right="113"/>
              <w:jc w:val="cente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 xml:space="preserve">عدد الرجال من عمر </w:t>
            </w:r>
            <w:r>
              <w:rPr>
                <w:rFonts w:ascii="Times New Roman"/>
                <w:caps w:val="0"/>
                <w:smallCaps w:val="0"/>
                <w:strike w:val="0"/>
                <w:dstrike w:val="0"/>
                <w:outline w:val="0"/>
                <w:color w:val="000000"/>
                <w:spacing w:val="0"/>
                <w:kern w:val="0"/>
                <w:position w:val="0"/>
                <w:sz w:val="20"/>
                <w:szCs w:val="20"/>
                <w:u w:val="none" w:color="000000"/>
                <w:vertAlign w:val="baseline"/>
                <w:rtl w:val="1"/>
                <w:lang w:val="ar-SA" w:bidi="ar-SA"/>
              </w:rPr>
              <w:t xml:space="preserve">15- 24 </w:t>
            </w: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سنة من الذين يرتادون المدرسة</w:t>
            </w:r>
          </w:p>
        </w:tc>
        <w:tc>
          <w:tcPr>
            <w:tcW w:type="dxa" w:w="8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spacing w:after="0" w:line="240" w:lineRule="auto"/>
              <w:ind w:left="113" w:right="113"/>
              <w:jc w:val="cente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 xml:space="preserve">نسبة الرجال من عمر </w:t>
            </w:r>
            <w:r>
              <w:rPr>
                <w:rFonts w:ascii="Times New Roman"/>
                <w:caps w:val="0"/>
                <w:smallCaps w:val="0"/>
                <w:strike w:val="0"/>
                <w:dstrike w:val="0"/>
                <w:outline w:val="0"/>
                <w:color w:val="000000"/>
                <w:spacing w:val="0"/>
                <w:kern w:val="0"/>
                <w:position w:val="0"/>
                <w:sz w:val="20"/>
                <w:szCs w:val="20"/>
                <w:u w:val="none" w:color="000000"/>
                <w:vertAlign w:val="baseline"/>
                <w:rtl w:val="1"/>
                <w:lang w:val="ar-SA" w:bidi="ar-SA"/>
              </w:rPr>
              <w:t xml:space="preserve">15- 24 </w:t>
            </w: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سنة من الذين هم راضةن إلى حد ما بعملهم</w:t>
            </w:r>
          </w:p>
        </w:tc>
        <w:tc>
          <w:tcPr>
            <w:tcW w:type="dxa" w:w="8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spacing w:after="0" w:line="240" w:lineRule="auto"/>
              <w:ind w:left="113" w:right="113"/>
              <w:jc w:val="cente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 xml:space="preserve">عدد الرجال من عمر </w:t>
            </w:r>
            <w:r>
              <w:rPr>
                <w:rFonts w:ascii="Times New Roman"/>
                <w:caps w:val="0"/>
                <w:smallCaps w:val="0"/>
                <w:strike w:val="0"/>
                <w:dstrike w:val="0"/>
                <w:outline w:val="0"/>
                <w:color w:val="000000"/>
                <w:spacing w:val="0"/>
                <w:kern w:val="0"/>
                <w:position w:val="0"/>
                <w:sz w:val="20"/>
                <w:szCs w:val="20"/>
                <w:u w:val="none" w:color="000000"/>
                <w:vertAlign w:val="baseline"/>
                <w:rtl w:val="1"/>
                <w:lang w:val="ar-SA" w:bidi="ar-SA"/>
              </w:rPr>
              <w:t xml:space="preserve">15- 24 </w:t>
            </w: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سنة من الذين لديهم عمل</w:t>
            </w: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spacing w:after="0" w:line="240" w:lineRule="auto"/>
              <w:ind w:left="113" w:right="113"/>
              <w:jc w:val="cente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 xml:space="preserve">نسبة الرجال من عمر </w:t>
            </w:r>
            <w:r>
              <w:rPr>
                <w:rFonts w:ascii="Times New Roman"/>
                <w:caps w:val="0"/>
                <w:smallCaps w:val="0"/>
                <w:strike w:val="0"/>
                <w:dstrike w:val="0"/>
                <w:outline w:val="0"/>
                <w:color w:val="000000"/>
                <w:spacing w:val="0"/>
                <w:kern w:val="0"/>
                <w:position w:val="0"/>
                <w:sz w:val="20"/>
                <w:szCs w:val="20"/>
                <w:u w:val="none" w:color="000000"/>
                <w:vertAlign w:val="baseline"/>
                <w:rtl w:val="1"/>
                <w:lang w:val="ar-SA" w:bidi="ar-SA"/>
              </w:rPr>
              <w:t xml:space="preserve">15- 24 </w:t>
            </w: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سنة من الذين هم راضون إلى حد ما بدخلهم</w:t>
            </w:r>
          </w:p>
        </w:tc>
        <w:tc>
          <w:tcPr>
            <w:tcW w:type="dxa" w:w="72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spacing w:after="0" w:line="240" w:lineRule="auto"/>
              <w:ind w:left="113" w:right="113"/>
              <w:jc w:val="cente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 xml:space="preserve">عدد الرجال من عمر </w:t>
            </w:r>
            <w:r>
              <w:rPr>
                <w:rFonts w:ascii="Times New Roman"/>
                <w:caps w:val="0"/>
                <w:smallCaps w:val="0"/>
                <w:strike w:val="0"/>
                <w:dstrike w:val="0"/>
                <w:outline w:val="0"/>
                <w:color w:val="000000"/>
                <w:spacing w:val="0"/>
                <w:kern w:val="0"/>
                <w:position w:val="0"/>
                <w:sz w:val="20"/>
                <w:szCs w:val="20"/>
                <w:u w:val="none" w:color="000000"/>
                <w:vertAlign w:val="baseline"/>
                <w:rtl w:val="1"/>
                <w:lang w:val="ar-SA" w:bidi="ar-SA"/>
              </w:rPr>
              <w:t xml:space="preserve">15- 24 </w:t>
            </w: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سنة من الذين لديهم دخل</w:t>
            </w:r>
          </w:p>
        </w:tc>
      </w:tr>
      <w:tr>
        <w:tblPrEx>
          <w:shd w:val="clear" w:color="auto" w:fill="auto"/>
        </w:tblPrEx>
        <w:trPr>
          <w:trHeight w:val="2381" w:hRule="atLeast"/>
        </w:trPr>
        <w:tc>
          <w:tcPr>
            <w:tcW w:type="dxa" w:w="13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spacing w:after="0" w:line="240" w:lineRule="auto"/>
              <w:ind w:left="113" w:right="113"/>
              <w:jc w:val="cente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حياة أسرية</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spacing w:after="0" w:line="240" w:lineRule="auto"/>
              <w:ind w:left="113" w:right="113"/>
              <w:jc w:val="cente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الصداقة</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spacing w:after="0" w:line="240" w:lineRule="auto"/>
              <w:ind w:left="113" w:right="113"/>
              <w:jc w:val="cente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الصحة</w:t>
            </w: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spacing w:after="0" w:line="240" w:lineRule="auto"/>
              <w:ind w:left="113" w:right="113"/>
              <w:jc w:val="cente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البيئة المعيشية</w:t>
            </w: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spacing w:after="0" w:line="240" w:lineRule="auto"/>
              <w:ind w:left="113" w:right="113"/>
              <w:jc w:val="cente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معاملة الآخرين</w:t>
            </w: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spacing w:after="0" w:line="240" w:lineRule="auto"/>
              <w:ind w:left="113" w:right="113"/>
              <w:jc w:val="cente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مظهرهم الخاص بهم</w:t>
            </w: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spacing w:after="0" w:line="240" w:lineRule="auto"/>
              <w:ind w:left="113" w:right="113"/>
              <w:jc w:val="cente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يرتادون المدرسة</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spacing w:after="0" w:line="240" w:lineRule="auto"/>
              <w:ind w:left="113" w:right="113"/>
              <w:jc w:val="cente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لديهم عمل</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spacing w:after="0" w:line="240" w:lineRule="auto"/>
              <w:ind w:left="113" w:right="113"/>
              <w:jc w:val="cente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لديهم دخل</w:t>
            </w:r>
          </w:p>
        </w:tc>
        <w:tc>
          <w:tcPr>
            <w:tcW w:type="dxa" w:w="5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8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2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41"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15- 19</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20- 24</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الحالة الاجتماعية</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90"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متزوج سابقاً</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لديه ارتياط زوجي سابق</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90"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متزوج</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ليس لديه ارتباط أبدً</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ابتدائي</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ثانوي</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عالي</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1"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خمس مؤشر الثروة</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50"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لغة</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عرق رب الأسرة</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501" w:hRule="atLeast"/>
        </w:trPr>
        <w:tc>
          <w:tcPr>
            <w:tcW w:type="dxa" w:w="11610"/>
            <w:gridSpan w:val="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الرجال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15-24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الذين هم راضون تماماً أو إلى حد ما في مجالات وجوانب معينة هم أصحاب الإجابة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على الأسئلة المتعلقة بالحياة الأسرية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MLS3</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والصداقات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MLS4</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والصحة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MLS8</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والبيئة المعيشية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MLS9</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والمعاملة من قبل الآخرين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MLS10</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ومظهرهم الشخصي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MLS11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والمدرسة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MLS6</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وكذلك العمل الحالي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MLS7</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والدخل الحالي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MLS13</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الرجال الذين لا يذهبون إلى المدرسة والذين ليس لديهم وظيفة والذين ليس لديهم أي دخل يندرجون كما يلي</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MLS5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2</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MLS7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0</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MLS13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0</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على التوالي</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لا تشمل العديد من المسوحات أحجام العينات التي من شأنها أن تغطي النقص الملحوظ في الجدول، وبالإضافة إلى المستوى المحدود للفئة العمرية للرجال الذين يشملهم الجدول، فإن العديد من الرجال في هذه الفئة العمرية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(15-24)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لا يذهبون إلى المدرسة، أو قد لا يكون لهم وظيفة أو دخل حالي</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فبالنسبة لهذه المجالات، قد تكون القواسم صغيرة، وبالتالي فإنه قد لا يتم وضع القائمة اليمنى من الجدول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bidiVisual w:val="on"/>
        <w:tblW w:w="90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803"/>
        <w:gridCol w:w="1804"/>
        <w:gridCol w:w="1803"/>
        <w:gridCol w:w="1805"/>
        <w:gridCol w:w="1805"/>
      </w:tblGrid>
      <w:tr>
        <w:tblPrEx>
          <w:shd w:val="clear" w:color="auto" w:fill="auto"/>
        </w:tblPrEx>
        <w:trPr>
          <w:trHeight w:val="270" w:hRule="atLeast"/>
        </w:trPr>
        <w:tc>
          <w:tcPr>
            <w:tcW w:type="dxa" w:w="902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SW.2</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السعادة والرضا المعيشي بشكل عام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النساء</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721" w:hRule="atLeast"/>
        </w:trPr>
        <w:tc>
          <w:tcPr>
            <w:tcW w:type="dxa" w:w="902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15-24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الراضيات تماماً أو راضيات إلى حد ما بحياتهن بشكل عام، متوسط درجة الرضا عن الحياة العامة، ونسبة النساء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15-24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اللاتي هنّ سعيدات جدا أو إلى حد ما،</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72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النساء اللاتي لديهن رضا معيشي بشكل عام</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 درجة الرضا عن الحياة</w:t>
            </w: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النساء اللاتي هنّ سعيدات جداً أو سعيدات إلى حد ما</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 xml:space="preserve">2 </w:t>
            </w: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15- 24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15- 19</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20- 24</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الحالة الاجتماعية</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10"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متزوجة سابقاً</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لديها ارتياط زوجي سابق</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10"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متزوجة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ليس لديها ارتباط أبدً</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ابتدائي</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ثانوي</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عالي</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خمس مؤشر الثروة</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10"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لغة</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عرق رب الأسرة</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3" w:hRule="atLeast"/>
        </w:trPr>
        <w:tc>
          <w:tcPr>
            <w:tcW w:type="dxa" w:w="902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11.1</w:t>
            </w:r>
          </w:p>
        </w:tc>
      </w:tr>
      <w:tr>
        <w:tblPrEx>
          <w:shd w:val="clear" w:color="auto" w:fill="auto"/>
        </w:tblPrEx>
        <w:trPr>
          <w:trHeight w:val="243" w:hRule="atLeast"/>
        </w:trPr>
        <w:tc>
          <w:tcPr>
            <w:tcW w:type="dxa" w:w="902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2</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11.2</w:t>
            </w:r>
          </w:p>
        </w:tc>
      </w:tr>
      <w:tr>
        <w:tblPrEx>
          <w:shd w:val="clear" w:color="auto" w:fill="auto"/>
        </w:tblPrEx>
        <w:trPr>
          <w:trHeight w:val="2007" w:hRule="atLeast"/>
        </w:trPr>
        <w:tc>
          <w:tcPr>
            <w:tcW w:type="dxa" w:w="902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يعبر عن الرضا عن الحياة بشكل عام كالتالي</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LS12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2.</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متوسط درجة الرضا عن الحياة بشكل عام هو متوسط الردود على </w:t>
            </w:r>
            <w:r>
              <w:rPr>
                <w:rFonts w:ascii="Calibri"/>
                <w:caps w:val="0"/>
                <w:smallCaps w:val="0"/>
                <w:strike w:val="0"/>
                <w:dstrike w:val="0"/>
                <w:outline w:val="0"/>
                <w:color w:val="000000"/>
                <w:spacing w:val="0"/>
                <w:kern w:val="0"/>
                <w:position w:val="0"/>
                <w:sz w:val="22"/>
                <w:szCs w:val="22"/>
                <w:u w:val="none" w:color="000000"/>
                <w:vertAlign w:val="baseline"/>
                <w:rtl w:val="0"/>
                <w:lang w:val="en-US"/>
              </w:rPr>
              <w:t>LS12</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وتشير النسب المنخفضة إلى مستويات رضا أعلى</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ويمثل الشعور بالسعادة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النساء اللاتي هنّ سعيدات جداً أو سعيدات إلى حد ما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LS2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2).</w:t>
            </w:r>
          </w:p>
          <w:p>
            <w:pPr>
              <w:pStyle w:val="Normal"/>
              <w:spacing w:after="0" w:line="240" w:lineRule="auto"/>
            </w:pP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bidiVisual w:val="on"/>
        <w:tblW w:w="90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803"/>
        <w:gridCol w:w="1804"/>
        <w:gridCol w:w="1803"/>
        <w:gridCol w:w="1805"/>
        <w:gridCol w:w="1805"/>
      </w:tblGrid>
      <w:tr>
        <w:tblPrEx>
          <w:shd w:val="clear" w:color="auto" w:fill="auto"/>
        </w:tblPrEx>
        <w:trPr>
          <w:trHeight w:val="270" w:hRule="atLeast"/>
        </w:trPr>
        <w:tc>
          <w:tcPr>
            <w:tcW w:type="dxa" w:w="902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SW.2M</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السعادة والرضا المعيشي بشكل عام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الرجال</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721" w:hRule="atLeast"/>
        </w:trPr>
        <w:tc>
          <w:tcPr>
            <w:tcW w:type="dxa" w:w="902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الرجال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15-24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الذين هم راضون تاماً أو راضون إلى حد ما بحياتهم بشكل عام، متوسط درجة الرضا عن الحياة العامة، ونسبة الرجال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15-24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الذين هم سعداء جدا أو إلى حد ما،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72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الرجال الذين لديهم رضا معيشي بشكل عام</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 درجة الرضا عن الحياة</w:t>
            </w: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الرجال الذين هم سعداء جداً أو سعداء إلى حد ما</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 xml:space="preserve">2 </w:t>
            </w: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الرجال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15- 24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15- 19</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20- 24</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الحالة الاجتماعية</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10"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متزوج سابقاً</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لديه ارتياط زوجي سابق</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10"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متزوج</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ليس لديه ارتباط أبدً</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ابتدائي</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ثانوي</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عالي</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خمس مؤشر الثروة</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10"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لغة</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عرق رب الأسرة</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3" w:hRule="atLeast"/>
        </w:trPr>
        <w:tc>
          <w:tcPr>
            <w:tcW w:type="dxa" w:w="902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11.1</w:t>
            </w: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superscript"/>
                <w:rtl w:val="1"/>
                <w:lang w:val="ar-SA" w:bidi="ar-SA"/>
              </w:rPr>
              <w:t>رجال</w:t>
            </w: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w:t>
            </w:r>
          </w:p>
        </w:tc>
      </w:tr>
      <w:tr>
        <w:tblPrEx>
          <w:shd w:val="clear" w:color="auto" w:fill="auto"/>
        </w:tblPrEx>
        <w:trPr>
          <w:trHeight w:val="243" w:hRule="atLeast"/>
        </w:trPr>
        <w:tc>
          <w:tcPr>
            <w:tcW w:type="dxa" w:w="902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2</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11.2</w:t>
            </w: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superscript"/>
                <w:rtl w:val="1"/>
                <w:lang w:val="ar-SA" w:bidi="ar-SA"/>
              </w:rPr>
              <w:t>رجال</w:t>
            </w: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w:t>
            </w:r>
          </w:p>
        </w:tc>
      </w:tr>
      <w:tr>
        <w:tblPrEx>
          <w:shd w:val="clear" w:color="auto" w:fill="auto"/>
        </w:tblPrEx>
        <w:trPr>
          <w:trHeight w:val="2007" w:hRule="atLeast"/>
        </w:trPr>
        <w:tc>
          <w:tcPr>
            <w:tcW w:type="dxa" w:w="902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يُعبَّر عن الرضا عن الحياة بشكل عام كالتالي</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MLS12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2.</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متوسط درجة الرضا عن الحياة بشكل عام هو متوسط الردود على </w:t>
            </w:r>
            <w:r>
              <w:rPr>
                <w:rFonts w:ascii="Calibri"/>
                <w:caps w:val="0"/>
                <w:smallCaps w:val="0"/>
                <w:strike w:val="0"/>
                <w:dstrike w:val="0"/>
                <w:outline w:val="0"/>
                <w:color w:val="000000"/>
                <w:spacing w:val="0"/>
                <w:kern w:val="0"/>
                <w:position w:val="0"/>
                <w:sz w:val="22"/>
                <w:szCs w:val="22"/>
                <w:u w:val="none" w:color="000000"/>
                <w:vertAlign w:val="baseline"/>
                <w:rtl w:val="0"/>
                <w:lang w:val="en-US"/>
              </w:rPr>
              <w:t>MLS12</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وتشير النسب المنخفضة إلى مستويات رضا أعلى</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ويمثل الشعور بالسعادة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الرجال الذين هم سعداء جداً أو سعداء إلى حد ما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MLS2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2).</w:t>
            </w:r>
          </w:p>
          <w:p>
            <w:pPr>
              <w:pStyle w:val="Normal"/>
              <w:spacing w:after="0" w:line="240" w:lineRule="auto"/>
            </w:pP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bidiVisual w:val="on"/>
        <w:tblW w:w="90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803"/>
        <w:gridCol w:w="1804"/>
        <w:gridCol w:w="1803"/>
        <w:gridCol w:w="1805"/>
        <w:gridCol w:w="1805"/>
      </w:tblGrid>
      <w:tr>
        <w:tblPrEx>
          <w:shd w:val="clear" w:color="auto" w:fill="auto"/>
        </w:tblPrEx>
        <w:trPr>
          <w:trHeight w:val="270" w:hRule="atLeast"/>
        </w:trPr>
        <w:tc>
          <w:tcPr>
            <w:tcW w:type="dxa" w:w="902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SW.3</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تصور وتوقع حياة أفضل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النساء</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721" w:hRule="atLeast"/>
        </w:trPr>
        <w:tc>
          <w:tcPr>
            <w:tcW w:type="dxa" w:w="902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15-24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اللاتي يعتقدن أن حياتهن تحسنت خلال العام الماضي، وأولئك اللاتي يتوقعن أن حياتهنّ ستتحسن بعد سنة،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50" w:hRule="atLeast"/>
        </w:trPr>
        <w:tc>
          <w:tcPr>
            <w:tcW w:type="dxa" w:w="180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نسبة النساء اللاتي يعتقدن أن حياتهنّ</w:t>
            </w:r>
          </w:p>
        </w:tc>
        <w:tc>
          <w:tcPr>
            <w:tcW w:type="dxa" w:w="180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15- 24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r>
      <w:tr>
        <w:tblPrEx>
          <w:shd w:val="clear" w:color="auto" w:fill="auto"/>
        </w:tblPrEx>
        <w:trPr>
          <w:trHeight w:val="481" w:hRule="atLeast"/>
        </w:trPr>
        <w:tc>
          <w:tcPr>
            <w:tcW w:type="dxa" w:w="180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تحسنت خلال العام الماضي</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ستتحسن بعد سنة</w:t>
            </w: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كلا الأمرين</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180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15- 19</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20- 24</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الحالة الاجتماعية</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10"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متزوجة سابقاً</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لديها ارتياط زوجي سابق</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10"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متزوجة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ليس لديها ارتباط أبدً</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ابتدائي</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ثانوي</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عالي</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خمس مؤشر الثروة</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10"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لغة</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عرق رب الأسرة</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902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11.3 -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تصور حياة أفضل</w:t>
            </w:r>
            <w: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1291" w:hRule="atLeast"/>
        </w:trPr>
        <w:tc>
          <w:tcPr>
            <w:tcW w:type="dxa" w:w="902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النساء اللاتي يعتقدن أن حياتهن قد تحسنت خلال العام الماضي</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LS14</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النساء اللاتي يتوقعن أن حياتهنّ ستتحسن بعد سنة واحدة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LS15</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النساء اللاتي يعتقدن أن حياتهن تتحسن وسوف تستمر في التحسّن</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LS14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 </w:t>
            </w:r>
            <w:r>
              <w:rPr>
                <w:rFonts w:ascii="Calibri"/>
                <w:caps w:val="0"/>
                <w:smallCaps w:val="0"/>
                <w:strike w:val="0"/>
                <w:dstrike w:val="0"/>
                <w:outline w:val="0"/>
                <w:color w:val="000000"/>
                <w:spacing w:val="0"/>
                <w:kern w:val="0"/>
                <w:position w:val="0"/>
                <w:sz w:val="22"/>
                <w:szCs w:val="22"/>
                <w:u w:val="none" w:color="000000"/>
                <w:vertAlign w:val="baseline"/>
                <w:rtl w:val="0"/>
                <w:lang w:val="en-US"/>
              </w:rPr>
              <w:t>LS15</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bidiVisual w:val="on"/>
        <w:tblW w:w="90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803"/>
        <w:gridCol w:w="1804"/>
        <w:gridCol w:w="1803"/>
        <w:gridCol w:w="1805"/>
        <w:gridCol w:w="1805"/>
      </w:tblGrid>
      <w:tr>
        <w:tblPrEx>
          <w:shd w:val="clear" w:color="auto" w:fill="auto"/>
        </w:tblPrEx>
        <w:trPr>
          <w:trHeight w:val="270" w:hRule="atLeast"/>
        </w:trPr>
        <w:tc>
          <w:tcPr>
            <w:tcW w:type="dxa" w:w="902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SW.3M</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تصور وتوقع حياة أفضل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الرجال</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721" w:hRule="atLeast"/>
        </w:trPr>
        <w:tc>
          <w:tcPr>
            <w:tcW w:type="dxa" w:w="902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الرجال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15-24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الذين يعتقدون أن حياتهم تحسنت خلال العام الماضي، وأولئك الذين يتوقعون أن حياتهم ستتحسن بعد سنة،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50" w:hRule="atLeast"/>
        </w:trPr>
        <w:tc>
          <w:tcPr>
            <w:tcW w:type="dxa" w:w="180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نسبة الرجال الذين يعتقدون أن حياتهم</w:t>
            </w:r>
          </w:p>
        </w:tc>
        <w:tc>
          <w:tcPr>
            <w:tcW w:type="dxa" w:w="180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الرجال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15- 24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r>
      <w:tr>
        <w:tblPrEx>
          <w:shd w:val="clear" w:color="auto" w:fill="auto"/>
        </w:tblPrEx>
        <w:trPr>
          <w:trHeight w:val="481" w:hRule="atLeast"/>
        </w:trPr>
        <w:tc>
          <w:tcPr>
            <w:tcW w:type="dxa" w:w="180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تحسنت خلال العام الماضي</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ستتحسن بعد سنة</w:t>
            </w: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كلا الأمرين</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180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15- 19</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20- 24</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الحالة الاجتماعية</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10"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متزوج سابقاً</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لديه ارتياط زوجي سابق</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10"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متزوج</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ليس لديه ارتباط أبدً</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ابتدائي</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ثانوي</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عالي</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خمس مؤشر الثروة</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10"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لغة</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عرق رب الأسرة</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4" w:hRule="atLeast"/>
        </w:trPr>
        <w:tc>
          <w:tcPr>
            <w:tcW w:type="dxa" w:w="902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11.3 -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تصور حياة أفضل</w:t>
            </w: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superscript"/>
                <w:rtl w:val="1"/>
                <w:lang w:val="ar-SA" w:bidi="ar-SA"/>
              </w:rPr>
              <w:t>رجال</w:t>
            </w: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w:t>
            </w:r>
          </w:p>
        </w:tc>
      </w:tr>
      <w:tr>
        <w:tblPrEx>
          <w:shd w:val="clear" w:color="auto" w:fill="auto"/>
        </w:tblPrEx>
        <w:trPr>
          <w:trHeight w:val="1291" w:hRule="atLeast"/>
        </w:trPr>
        <w:tc>
          <w:tcPr>
            <w:tcW w:type="dxa" w:w="902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الرجال الذين يعتقدون أن حياتهم قد تحسنت خلال العام الماضي</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MLS14</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الرجال الذين يتوقعون أن حياتهم ستتحسن بعد سنة واحدة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MLS15</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الرجال الذين يعتقدون أن حياتهم تتحسن وسوف تستمر في التحسّن</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MLS14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 </w:t>
            </w:r>
            <w:r>
              <w:rPr>
                <w:rFonts w:ascii="Calibri"/>
                <w:caps w:val="0"/>
                <w:smallCaps w:val="0"/>
                <w:strike w:val="0"/>
                <w:dstrike w:val="0"/>
                <w:outline w:val="0"/>
                <w:color w:val="000000"/>
                <w:spacing w:val="0"/>
                <w:kern w:val="0"/>
                <w:position w:val="0"/>
                <w:sz w:val="22"/>
                <w:szCs w:val="22"/>
                <w:u w:val="none" w:color="000000"/>
                <w:vertAlign w:val="baseline"/>
                <w:rtl w:val="0"/>
                <w:lang w:val="en-US"/>
              </w:rPr>
              <w:t>MLS15</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tc>
      </w:tr>
    </w:tbl>
    <w:p>
      <w:pPr>
        <w:pStyle w:val="Normal"/>
        <w:widowControl w:val="0"/>
        <w:spacing w:line="240" w:lineRule="auto"/>
      </w:pPr>
      <w:r>
        <w:rPr>
          <w:rFonts w:ascii="Times New Roman" w:cs="Times New Roman" w:hAnsi="Times New Roman" w:eastAsia="Times New Roman"/>
          <w:sz w:val="22"/>
          <w:szCs w:val="22"/>
          <w:rtl w:val="1"/>
          <w:lang w:val="ar-SA" w:bidi="ar-SA"/>
        </w:rPr>
        <w:br w:type="textWrapping"/>
      </w:r>
      <w:r>
        <w:rPr>
          <w:rFonts w:ascii="Times New Roman" w:cs="Times New Roman" w:hAnsi="Times New Roman" w:eastAsia="Times New Roman"/>
          <w:sz w:val="22"/>
          <w:szCs w:val="22"/>
          <w:rtl w:val="1"/>
          <w:lang w:val="ar-SA" w:bidi="ar-SA"/>
        </w:rPr>
        <w:br w:type="page"/>
      </w:r>
    </w:p>
    <w:p>
      <w:pPr>
        <w:pStyle w:val="Normal"/>
        <w:widowControl w:val="0"/>
        <w:spacing w:line="240" w:lineRule="auto"/>
      </w:pPr>
      <w:r>
        <w:rPr>
          <w:rFonts w:ascii="Times New Roman" w:cs="Times New Roman" w:hAnsi="Times New Roman" w:eastAsia="Times New Roman"/>
          <w:sz w:val="22"/>
          <w:szCs w:val="22"/>
          <w:rtl w:val="1"/>
          <w:lang w:val="ar-SA" w:bidi="ar-SA"/>
        </w:rPr>
        <w:br w:type="page"/>
      </w:r>
    </w:p>
    <w:p>
      <w:pPr>
        <w:pStyle w:val="Normal"/>
        <w:widowControl w:val="0"/>
        <w:spacing w:line="240" w:lineRule="auto"/>
      </w:pPr>
      <w:r>
        <w:rPr>
          <w:rFonts w:ascii="Times New Roman" w:cs="Times New Roman" w:hAnsi="Times New Roman" w:eastAsia="Times New Roman"/>
          <w:sz w:val="22"/>
          <w:szCs w:val="22"/>
          <w:rtl w:val="1"/>
          <w:lang w:val="ar-SA" w:bidi="ar-SA"/>
        </w:rPr>
        <w:br w:type="page"/>
      </w:r>
    </w:p>
    <w:p>
      <w:pPr>
        <w:pStyle w:val="Normal"/>
        <w:widowControl w:val="0"/>
        <w:spacing w:line="240" w:lineRule="auto"/>
      </w:pPr>
      <w:r>
        <w:rPr>
          <w:rFonts w:ascii="Times New Roman" w:cs="Times New Roman" w:hAnsi="Times New Roman" w:eastAsia="Times New Roman"/>
          <w:sz w:val="22"/>
          <w:szCs w:val="22"/>
          <w:rtl w:val="1"/>
          <w:lang w:val="ar-SA" w:bidi="ar-SA"/>
        </w:rPr>
        <w:br w:type="page"/>
      </w:r>
    </w:p>
    <w:p>
      <w:pPr>
        <w:pStyle w:val="Normal"/>
        <w:widowControl w:val="0"/>
        <w:spacing w:line="240" w:lineRule="auto"/>
      </w:pPr>
      <w:r>
        <w:rPr>
          <w:rFonts w:ascii="Times New Roman" w:cs="Times New Roman" w:hAnsi="Times New Roman" w:eastAsia="Times New Roman"/>
          <w:sz w:val="22"/>
          <w:szCs w:val="22"/>
          <w:rtl w:val="1"/>
          <w:lang w:val="ar-SA" w:bidi="ar-SA"/>
        </w:rPr>
        <w:br w:type="page"/>
      </w:r>
    </w:p>
    <w:p>
      <w:pPr>
        <w:pStyle w:val="Normal"/>
        <w:widowControl w:val="0"/>
        <w:spacing w:line="240" w:lineRule="auto"/>
      </w:pPr>
    </w:p>
    <w:sectPr>
      <w:headerReference w:type="default" r:id="rId4"/>
      <w:footerReference w:type="default" r:id="rId5"/>
      <w:pgSz w:w="11900" w:h="16840" w:orient="portrait"/>
      <w:pgMar w:top="1440" w:right="1440" w:bottom="1440" w:left="1440" w:header="720" w:footer="720"/>
      <w:bidi w:val="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1"/>
      <w:spacing w:before="0" w:after="200" w:line="276" w:lineRule="auto"/>
      <w:ind w:left="0" w:right="0" w:firstLine="0"/>
      <w:jc w:val="left"/>
      <w:outlineLvl w:val="9"/>
    </w:pPr>
    <w:rPr>
      <w:rFonts w:ascii="Arial Unicode MS" w:cs="Calibri" w:hAnsi="Arial Unicode MS" w:eastAsia="Arial Unicode MS" w:hint="cs"/>
      <w:b w:val="0"/>
      <w:bCs w:val="0"/>
      <w:i w:val="0"/>
      <w:iCs w:val="0"/>
      <w:caps w:val="0"/>
      <w:smallCaps w:val="0"/>
      <w:strike w:val="0"/>
      <w:dstrike w:val="0"/>
      <w:outline w:val="0"/>
      <w:color w:val="000000"/>
      <w:spacing w:val="0"/>
      <w:kern w:val="0"/>
      <w:position w:val="0"/>
      <w:sz w:val="22"/>
      <w:szCs w:val="22"/>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