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C41771" w:rsidRPr="001D6070" w:rsidTr="00C41771">
        <w:tc>
          <w:tcPr>
            <w:tcW w:w="2808" w:type="dxa"/>
          </w:tcPr>
          <w:p w:rsidR="00C41771" w:rsidRPr="00E16906" w:rsidRDefault="00C41771" w:rsidP="00C41771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  <w:bookmarkStart w:id="0" w:name="_GoBack"/>
            <w:bookmarkEnd w:id="0"/>
            <w:r w:rsidRPr="00E16906">
              <w:rPr>
                <w:bCs/>
                <w:noProof/>
                <w:snapToGrid/>
                <w:sz w:val="32"/>
                <w:szCs w:val="22"/>
              </w:rPr>
              <w:drawing>
                <wp:inline distT="0" distB="0" distL="0" distR="0" wp14:anchorId="07D87013" wp14:editId="155050C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bottom"/>
          </w:tcPr>
          <w:p w:rsidR="00E16906" w:rsidRPr="00E16906" w:rsidRDefault="00E16906" w:rsidP="00C41771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  <w:r w:rsidRPr="00E16906">
              <w:rPr>
                <w:bCs/>
                <w:sz w:val="32"/>
                <w:szCs w:val="22"/>
                <w:lang w:val="es-ES_tradnl"/>
              </w:rPr>
              <w:t>Encuesta de Indicadores Múltiples por Conglomerados – Ronda 4</w:t>
            </w:r>
          </w:p>
          <w:p w:rsidR="00C41771" w:rsidRPr="00E16906" w:rsidRDefault="001D6070" w:rsidP="00C41771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  <w:r>
              <w:rPr>
                <w:bCs/>
                <w:sz w:val="32"/>
                <w:szCs w:val="22"/>
                <w:lang w:val="es-ES_tradnl"/>
              </w:rPr>
              <w:t>El Fluj</w:t>
            </w:r>
            <w:r w:rsidR="00E16906" w:rsidRPr="00E16906">
              <w:rPr>
                <w:bCs/>
                <w:sz w:val="32"/>
                <w:szCs w:val="22"/>
                <w:lang w:val="es-ES_tradnl"/>
              </w:rPr>
              <w:t>o del Cuestionario Módulo V3.0</w:t>
            </w:r>
          </w:p>
          <w:p w:rsidR="00C41771" w:rsidRPr="00E16906" w:rsidRDefault="00C41771" w:rsidP="00C41771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</w:p>
        </w:tc>
      </w:tr>
    </w:tbl>
    <w:p w:rsidR="00C41771" w:rsidRPr="00E16906" w:rsidRDefault="00E16906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La cuarta ronda de MICS incluye cuatro cuestionarios modelos:</w:t>
      </w:r>
      <w:r w:rsidR="00EC1F2E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</w:p>
    <w:p w:rsidR="00C41771" w:rsidRPr="00E16906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(1) </w:t>
      </w:r>
      <w:r w:rsid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cuestionario del Hogar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, </w:t>
      </w:r>
    </w:p>
    <w:p w:rsidR="00C41771" w:rsidRPr="00E16906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(2) </w:t>
      </w:r>
      <w:r w:rsid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cuestionario de Mujer</w:t>
      </w:r>
      <w:r w:rsidR="00EC1F2E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</w:p>
    <w:p w:rsidR="00C41771" w:rsidRPr="00E16906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(3) </w:t>
      </w:r>
      <w:r w:rsid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cuestionario de Hombres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, </w:t>
      </w:r>
      <w:r w:rsid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y</w:t>
      </w:r>
      <w:r w:rsidR="00BF61F2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</w:p>
    <w:p w:rsidR="00BF61F2" w:rsidRPr="00E16906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(</w:t>
      </w:r>
      <w:r w:rsidR="00EC1F2E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4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) </w:t>
      </w:r>
      <w:r w:rsid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cuestionario de niños(as) menores de cinco años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. </w:t>
      </w:r>
    </w:p>
    <w:p w:rsidR="00EC1F2E" w:rsidRPr="00E16906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:rsidR="00EC1F2E" w:rsidRPr="00300DCF" w:rsidRDefault="00300DCF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La naturaleza flexible y modular de los cuestionarios de MICS4 hace que sea </w:t>
      </w:r>
      <w:r w:rsidR="001F6105"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fácil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de quitar </w:t>
      </w:r>
      <w:r w:rsidR="001F6105"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módulos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que no son relevantes y </w:t>
      </w:r>
      <w:r w:rsidR="001F6105"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módulos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por lo cual ya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existen datos de buena calidad de otras fuentes</w:t>
      </w:r>
      <w:r w:rsidR="00EC1F2E"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. </w:t>
      </w:r>
    </w:p>
    <w:p w:rsidR="00EC1F2E" w:rsidRPr="00300DCF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:rsidR="001F6105" w:rsidRDefault="001F6105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L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a tabla siguiente muestra el flujo de los cuatro cuestionarios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de 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MICS4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por módulos. Consulte el Capítulo I.3 del Manual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de 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MICS4 para obtener información más detallada sobre el flujo de los cuestionarios y los contenidos de los módulos.</w:t>
      </w:r>
    </w:p>
    <w:p w:rsidR="00C41771" w:rsidRPr="00E16906" w:rsidRDefault="00C41771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es-ES_tradnl"/>
        </w:rPr>
      </w:pPr>
    </w:p>
    <w:p w:rsidR="00EC1F2E" w:rsidRPr="00E16906" w:rsidRDefault="00EC1F2E" w:rsidP="00242565">
      <w:pPr>
        <w:pStyle w:val="1H"/>
        <w:jc w:val="both"/>
        <w:rPr>
          <w:b w:val="0"/>
          <w:bCs/>
          <w:smallCaps w:val="0"/>
          <w:sz w:val="22"/>
          <w:szCs w:val="22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060"/>
        <w:gridCol w:w="2135"/>
        <w:gridCol w:w="2626"/>
      </w:tblGrid>
      <w:tr w:rsidR="002F3007" w:rsidRPr="00E16906" w:rsidTr="00FA161B">
        <w:trPr>
          <w:jc w:val="center"/>
        </w:trPr>
        <w:tc>
          <w:tcPr>
            <w:tcW w:w="19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E16906" w:rsidRDefault="001F6105" w:rsidP="001F6105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C</w:t>
            </w:r>
            <w:r w:rsidRPr="001F6105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uestionario del Hogar</w:t>
            </w:r>
          </w:p>
        </w:tc>
        <w:tc>
          <w:tcPr>
            <w:tcW w:w="30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E16906" w:rsidRDefault="001F6105" w:rsidP="001F6105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C</w:t>
            </w:r>
            <w:r w:rsidRPr="001F6105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 xml:space="preserve">uestionario de Mujer </w:t>
            </w:r>
          </w:p>
        </w:tc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E16906" w:rsidRDefault="001F6105" w:rsidP="001F6105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1F6105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Cuestionario de niños(as) menores de cinco años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E16906" w:rsidRDefault="001F6105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C</w:t>
            </w:r>
            <w:r w:rsidRPr="001F6105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ues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_tradnl"/>
              </w:rPr>
              <w:t>tionario de Hombre</w:t>
            </w:r>
          </w:p>
        </w:tc>
      </w:tr>
      <w:tr w:rsidR="002F3007" w:rsidRPr="001D6070" w:rsidTr="00FA161B">
        <w:trPr>
          <w:jc w:val="center"/>
        </w:trPr>
        <w:tc>
          <w:tcPr>
            <w:tcW w:w="1998" w:type="dxa"/>
            <w:tcBorders>
              <w:top w:val="single" w:sz="4" w:space="0" w:color="4F81BD" w:themeColor="accent1"/>
            </w:tcBorders>
          </w:tcPr>
          <w:p w:rsidR="00743E3E" w:rsidRPr="00E16906" w:rsidRDefault="001F6105" w:rsidP="00BA7954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Panel de </w:t>
            </w:r>
            <w:r w:rsidR="009D7C3E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Información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del Hogar</w:t>
            </w:r>
          </w:p>
          <w:p w:rsidR="00743E3E" w:rsidRPr="00E16906" w:rsidRDefault="00B303F7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Formulario del Listado del H</w:t>
            </w:r>
            <w:r w:rsidR="001F610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ogar</w:t>
            </w:r>
          </w:p>
          <w:p w:rsidR="00743E3E" w:rsidRPr="00E16906" w:rsidRDefault="009D7C3E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Educa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ción</w:t>
            </w:r>
          </w:p>
          <w:p w:rsidR="00743E3E" w:rsidRPr="00E16906" w:rsidRDefault="001F6105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Agua y Saneamiento</w:t>
            </w:r>
          </w:p>
          <w:p w:rsidR="00743E3E" w:rsidRPr="00E16906" w:rsidRDefault="009D7C3E" w:rsidP="00BA7954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Características</w:t>
            </w:r>
            <w:r w:rsidR="001F610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del Hogar</w:t>
            </w:r>
          </w:p>
          <w:p w:rsidR="00743E3E" w:rsidRPr="00E16906" w:rsidRDefault="00B303F7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mosquiteros T</w:t>
            </w:r>
            <w:r w:rsidR="004211D4" w:rsidRPr="004211D4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ratados con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</w:t>
            </w:r>
            <w:r w:rsidR="004211D4" w:rsidRPr="004211D4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nsecticidas</w:t>
            </w:r>
          </w:p>
          <w:p w:rsidR="009D7C3E" w:rsidRPr="009D7C3E" w:rsidRDefault="009D7C3E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fumigación residual Interior</w:t>
            </w:r>
            <w:r w:rsidRPr="009D7C3E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   </w:t>
            </w:r>
          </w:p>
          <w:p w:rsidR="00743E3E" w:rsidRPr="00E16906" w:rsidRDefault="009D7C3E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Trabajo Infantil</w:t>
            </w:r>
          </w:p>
          <w:p w:rsidR="00743E3E" w:rsidRPr="00E16906" w:rsidRDefault="009D7C3E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Disciplina Infantil</w:t>
            </w:r>
          </w:p>
          <w:p w:rsidR="009D7C3E" w:rsidRDefault="009D7C3E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9D7C3E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Lavado de manos</w:t>
            </w:r>
          </w:p>
          <w:p w:rsidR="00743E3E" w:rsidRPr="009D7C3E" w:rsidRDefault="009D7C3E" w:rsidP="009D7C3E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Yodación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la S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al</w:t>
            </w:r>
          </w:p>
          <w:p w:rsidR="00743E3E" w:rsidRPr="00E16906" w:rsidRDefault="00743E3E" w:rsidP="00201EB8">
            <w:pPr>
              <w:pStyle w:val="1H"/>
              <w:ind w:hanging="360"/>
              <w:jc w:val="bot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4F81BD" w:themeColor="accent1"/>
            </w:tcBorders>
          </w:tcPr>
          <w:p w:rsidR="00B303F7" w:rsidRDefault="00B303F7" w:rsidP="00B303F7">
            <w:pPr>
              <w:pStyle w:val="1H"/>
              <w:numPr>
                <w:ilvl w:val="0"/>
                <w:numId w:val="9"/>
              </w:numPr>
              <w:tabs>
                <w:tab w:val="left" w:pos="135"/>
              </w:tabs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Panel de Información de la Mujer </w:t>
            </w:r>
          </w:p>
          <w:p w:rsidR="00743E3E" w:rsidRPr="00B303F7" w:rsidRDefault="00B303F7" w:rsidP="00B303F7">
            <w:pPr>
              <w:pStyle w:val="1H"/>
              <w:numPr>
                <w:ilvl w:val="0"/>
                <w:numId w:val="9"/>
              </w:numPr>
              <w:tabs>
                <w:tab w:val="left" w:pos="135"/>
              </w:tabs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Antecedentes de la mujer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tabs>
                <w:tab w:val="left" w:pos="135"/>
              </w:tabs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Acceso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 Los Medios de Comunicación y Uso de Tecnologías d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 Información/Comunicación</w:t>
            </w:r>
          </w:p>
          <w:p w:rsidR="00743E3E" w:rsidRPr="00B303F7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rtalidad en la Niñez (con o sin la Historia de Nacimientos)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Último Nacimiento D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eseado  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Salud Materna y del recién Nacido</w:t>
            </w:r>
          </w:p>
          <w:p w:rsidR="00743E3E" w:rsidRPr="00B303F7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Controles de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Salud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Post-natal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Síntomas de Enfermedades </w:t>
            </w:r>
          </w:p>
          <w:p w:rsidR="00743E3E" w:rsidRPr="00E16906" w:rsidRDefault="008C4DBA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Anticoncepción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Necesidad Insatisfecha</w:t>
            </w:r>
          </w:p>
          <w:p w:rsidR="00743E3E" w:rsidRPr="00B303F7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utilación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G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enital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emenina/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C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orte</w:t>
            </w:r>
          </w:p>
          <w:p w:rsidR="00743E3E" w:rsidRPr="00E16906" w:rsidRDefault="009E1339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B303F7"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ctitud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es frente a la V</w:t>
            </w:r>
            <w:r w:rsidR="00B303F7"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iolencia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Domestica</w:t>
            </w:r>
            <w:r w:rsidR="00B303F7" w:rsidRPr="00B303F7">
              <w:rPr>
                <w:rFonts w:ascii="Calibri" w:hAnsi="Calibri"/>
                <w:color w:val="FF0000"/>
                <w:lang w:val="es-ES"/>
              </w:rPr>
              <w:t xml:space="preserve"> 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Matrimonio/Unión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Comportamiento Sexual</w:t>
            </w:r>
          </w:p>
          <w:p w:rsidR="00743E3E" w:rsidRPr="00E16906" w:rsidRDefault="00743E3E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V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IH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/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SIDA</w:t>
            </w:r>
          </w:p>
          <w:p w:rsidR="00743E3E" w:rsidRPr="00E16906" w:rsidRDefault="00743E3E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ortalidad Materna</w:t>
            </w:r>
          </w:p>
          <w:p w:rsidR="00743E3E" w:rsidRPr="00E16906" w:rsidRDefault="009E1339" w:rsidP="00B303F7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</w:t>
            </w:r>
            <w:r w:rsid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so de Tabaco y Alcohol</w:t>
            </w:r>
          </w:p>
          <w:p w:rsidR="00743E3E" w:rsidRPr="00E16906" w:rsidRDefault="00B303F7" w:rsidP="00B303F7">
            <w:pPr>
              <w:pStyle w:val="1H"/>
              <w:numPr>
                <w:ilvl w:val="0"/>
                <w:numId w:val="9"/>
              </w:numPr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Nivel de </w:t>
            </w:r>
            <w:r w:rsidR="00743E3E"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8C4DBA"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Satisfacción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la Vida</w:t>
            </w:r>
          </w:p>
        </w:tc>
        <w:tc>
          <w:tcPr>
            <w:tcW w:w="2135" w:type="dxa"/>
            <w:tcBorders>
              <w:top w:val="single" w:sz="4" w:space="0" w:color="4F81BD" w:themeColor="accent1"/>
            </w:tcBorders>
          </w:tcPr>
          <w:p w:rsidR="00D65E4A" w:rsidRPr="00D65E4A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6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6"/>
                <w:szCs w:val="18"/>
                <w:lang w:val="es-ES_tradnl"/>
              </w:rPr>
              <w:t xml:space="preserve">Panel de 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Información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Niños(as) menores de cinco años</w:t>
            </w:r>
          </w:p>
          <w:p w:rsidR="00743E3E" w:rsidRPr="00E16906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Edad</w:t>
            </w:r>
          </w:p>
          <w:p w:rsidR="00743E3E" w:rsidRPr="00E16906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Registro de Nacimiento</w:t>
            </w:r>
          </w:p>
          <w:p w:rsidR="00743E3E" w:rsidRPr="00E16906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Desarrollo Temprano Infantil</w:t>
            </w:r>
          </w:p>
          <w:p w:rsidR="00743E3E" w:rsidRPr="00E16906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Lactancia</w:t>
            </w:r>
          </w:p>
          <w:p w:rsidR="00743E3E" w:rsidRPr="00E16906" w:rsidRDefault="00743E3E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D65E4A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uidad de Enfermedades</w:t>
            </w:r>
          </w:p>
          <w:p w:rsidR="00743E3E" w:rsidRPr="00E16906" w:rsidRDefault="00743E3E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Malaria</w:t>
            </w:r>
          </w:p>
          <w:p w:rsidR="00743E3E" w:rsidRPr="00E16906" w:rsidRDefault="00D65E4A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Inm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unización</w:t>
            </w:r>
          </w:p>
          <w:p w:rsidR="00201EB8" w:rsidRPr="00E16906" w:rsidRDefault="00D65E4A" w:rsidP="00EC1F2E">
            <w:pPr>
              <w:pStyle w:val="1H"/>
              <w:numPr>
                <w:ilvl w:val="0"/>
                <w:numId w:val="10"/>
              </w:numPr>
              <w:ind w:left="290" w:hanging="230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Antropometría</w:t>
            </w:r>
          </w:p>
        </w:tc>
        <w:tc>
          <w:tcPr>
            <w:tcW w:w="2626" w:type="dxa"/>
            <w:tcBorders>
              <w:top w:val="single" w:sz="4" w:space="0" w:color="4F81BD" w:themeColor="accent1"/>
            </w:tcBorders>
          </w:tcPr>
          <w:p w:rsidR="00743E3E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Panel de Información de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 Hombre</w:t>
            </w:r>
          </w:p>
          <w:p w:rsidR="00201EB8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Antecedentes de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 Hombre</w:t>
            </w:r>
          </w:p>
          <w:p w:rsidR="009E1339" w:rsidRPr="00E16906" w:rsidRDefault="009E1339" w:rsidP="009E1339">
            <w:pPr>
              <w:pStyle w:val="1H"/>
              <w:numPr>
                <w:ilvl w:val="0"/>
                <w:numId w:val="10"/>
              </w:numPr>
              <w:tabs>
                <w:tab w:val="left" w:pos="135"/>
              </w:tabs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Acceso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 Los Medios de Comunicación y Uso de Tecnologías d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 Información/Comunicación</w:t>
            </w:r>
          </w:p>
          <w:p w:rsidR="009E1339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rtalidad en la Niñez </w:t>
            </w:r>
          </w:p>
          <w:p w:rsidR="00201EB8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ctitud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es frente a la V</w:t>
            </w:r>
            <w:r w:rsidRPr="00B303F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iolencia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Domestica</w:t>
            </w:r>
          </w:p>
          <w:p w:rsidR="009E1339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Matrimonio/Unión</w:t>
            </w:r>
          </w:p>
          <w:p w:rsidR="009E1339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Comportamiento Sexual</w:t>
            </w:r>
          </w:p>
          <w:p w:rsidR="009E1339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V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IH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/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SIDA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:rsidR="00201EB8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Circuncisión</w:t>
            </w:r>
          </w:p>
          <w:p w:rsidR="009E1339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Uso de Tabaco y Alcohol</w:t>
            </w:r>
          </w:p>
          <w:p w:rsidR="00201EB8" w:rsidRPr="00E16906" w:rsidRDefault="009E1339" w:rsidP="009E1339">
            <w:pPr>
              <w:pStyle w:val="1H"/>
              <w:numPr>
                <w:ilvl w:val="0"/>
                <w:numId w:val="10"/>
              </w:numPr>
              <w:ind w:left="470" w:hanging="37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Nivel de 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Satisfacción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la Vida</w:t>
            </w:r>
          </w:p>
        </w:tc>
      </w:tr>
    </w:tbl>
    <w:p w:rsidR="00E57BFD" w:rsidRPr="00E16906" w:rsidRDefault="00E57BFD" w:rsidP="00BA7954">
      <w:pPr>
        <w:rPr>
          <w:b/>
          <w:bCs/>
          <w:smallCaps/>
          <w:lang w:val="es-ES_tradnl"/>
        </w:rPr>
      </w:pPr>
    </w:p>
    <w:p w:rsidR="00456756" w:rsidRPr="00E16906" w:rsidRDefault="00000258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Adicionalmente</w:t>
      </w:r>
      <w:r w:rsidR="00EC1F2E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,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dos formularios de cuestionarios están disponibles</w:t>
      </w:r>
      <w:r w:rsidR="00EC1F2E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: </w:t>
      </w:r>
    </w:p>
    <w:p w:rsidR="00456756" w:rsidRPr="00E16906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(1) </w:t>
      </w:r>
      <w:r w:rsid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Formulario del Cuestionario de Discapacidad del niño(a)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, </w:t>
      </w:r>
      <w:r w:rsid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y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</w:p>
    <w:p w:rsidR="00CD55E7" w:rsidRPr="00E16906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(2) </w:t>
      </w:r>
      <w:r w:rsid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el Formulario del Cuestionario</w:t>
      </w:r>
      <w:r w:rsidR="00000258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para </w:t>
      </w:r>
      <w:r w:rsidR="00E97C11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Inmunización</w:t>
      </w:r>
      <w:r w:rsid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en Centros de Salud</w:t>
      </w:r>
      <w:r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.</w:t>
      </w:r>
      <w:r w:rsidR="00CD55E7" w:rsidRPr="00E16906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</w:p>
    <w:p w:rsidR="00CD55E7" w:rsidRPr="00E16906" w:rsidRDefault="00CD55E7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:rsidR="00CD55E7" w:rsidRPr="00536C54" w:rsidRDefault="00000258" w:rsidP="00CD55E7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El </w:t>
      </w:r>
      <w:r w:rsidRPr="00000258">
        <w:rPr>
          <w:rFonts w:asciiTheme="minorHAnsi" w:hAnsiTheme="minorHAnsi" w:cstheme="minorHAnsi"/>
          <w:b w:val="0"/>
          <w:bCs/>
          <w:i/>
          <w:smallCaps w:val="0"/>
          <w:sz w:val="20"/>
          <w:lang w:val="es-ES_tradnl"/>
        </w:rPr>
        <w:t xml:space="preserve">Formulario del Cuestionario de Discapacidad del niño(a) 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esta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administrado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a la madre o el encargado principal de niños de 2 a 9 años y debería aplicarse en países donde una evaluación medica (de todos los </w:t>
      </w:r>
      <w:r w:rsidR="00536C54"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niños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/as identificados usando este 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lastRenderedPageBreak/>
        <w:t xml:space="preserve">formulario como un(a) </w:t>
      </w:r>
      <w:r w:rsidR="00536C54"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niño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(a) posiblemente con una </w:t>
      </w:r>
      <w:r w:rsidR="00536C54"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discapacidad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, y con una muestra de </w:t>
      </w:r>
      <w:r w:rsidR="00536C54"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niños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(as) identificados como negativos para una </w:t>
      </w:r>
      <w:r w:rsidR="00536C54"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discapacidad</w:t>
      </w:r>
      <w:r w:rsid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en todas las preguntas del formulario</w:t>
      </w:r>
      <w:r w:rsidRPr="00000258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)</w:t>
      </w:r>
      <w:r w:rsidRPr="00000258">
        <w:rPr>
          <w:lang w:val="es-ES_tradnl"/>
        </w:rPr>
        <w:t xml:space="preserve"> </w:t>
      </w:r>
      <w:r w:rsidR="00536C54" w:rsidRP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esta </w:t>
      </w:r>
      <w:r w:rsidR="00E97C11" w:rsidRP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planificado</w:t>
      </w:r>
      <w:r w:rsidR="00536C54" w:rsidRP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="00E97C11" w:rsidRP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después</w:t>
      </w:r>
      <w:r w:rsidR="00536C54" w:rsidRP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de la encuesta</w:t>
      </w:r>
      <w:r w:rsidR="00536C54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.</w:t>
      </w:r>
    </w:p>
    <w:p w:rsidR="00536C54" w:rsidRPr="00000258" w:rsidRDefault="00536C54" w:rsidP="00CD55E7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:rsidR="00C41771" w:rsidRPr="00E16906" w:rsidRDefault="00E97C11" w:rsidP="00E97C11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E97C11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Debería usar el </w:t>
      </w:r>
      <w:r w:rsidRPr="00E97C11">
        <w:rPr>
          <w:rFonts w:asciiTheme="minorHAnsi" w:hAnsiTheme="minorHAnsi" w:cstheme="minorHAnsi"/>
          <w:b w:val="0"/>
          <w:bCs/>
          <w:i/>
          <w:smallCaps w:val="0"/>
          <w:sz w:val="20"/>
          <w:lang w:val="es-ES_tradnl"/>
        </w:rPr>
        <w:t>Formulario del Cuestionario para Inmunización en Centros de Salud</w:t>
      </w:r>
      <w:r w:rsidRPr="00E97C11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en países donde una cantidad significativa de las tarjetas de inmunización </w:t>
      </w:r>
      <w:r w:rsidR="001D6070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de niños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están mantenidos en centros de salud. Equipos de la encuesta deberían visitar los centros de salud y completar este formulario.</w:t>
      </w:r>
    </w:p>
    <w:sectPr w:rsidR="00C41771" w:rsidRPr="00E16906" w:rsidSect="00BA7954"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7" w:rsidRDefault="00636957" w:rsidP="00456756">
      <w:pPr>
        <w:spacing w:after="0" w:line="240" w:lineRule="auto"/>
      </w:pPr>
      <w:r>
        <w:separator/>
      </w:r>
    </w:p>
  </w:endnote>
  <w:endnote w:type="continuationSeparator" w:id="0">
    <w:p w:rsidR="00636957" w:rsidRDefault="00636957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56" w:rsidRDefault="00456756">
    <w:pPr>
      <w:pStyle w:val="Footer"/>
    </w:pPr>
  </w:p>
  <w:p w:rsidR="00456756" w:rsidRDefault="00716673" w:rsidP="00716673">
    <w:pPr>
      <w:pStyle w:val="Footer"/>
      <w:jc w:val="right"/>
    </w:pPr>
    <w:r>
      <w:rPr>
        <w:i/>
        <w:sz w:val="16"/>
        <w:szCs w:val="16"/>
      </w:rPr>
      <w:t>13 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7" w:rsidRDefault="00636957" w:rsidP="00456756">
      <w:pPr>
        <w:spacing w:after="0" w:line="240" w:lineRule="auto"/>
      </w:pPr>
      <w:r>
        <w:separator/>
      </w:r>
    </w:p>
  </w:footnote>
  <w:footnote w:type="continuationSeparator" w:id="0">
    <w:p w:rsidR="00636957" w:rsidRDefault="00636957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00258"/>
    <w:rsid w:val="001D6070"/>
    <w:rsid w:val="001F6105"/>
    <w:rsid w:val="00201EB8"/>
    <w:rsid w:val="00242565"/>
    <w:rsid w:val="002F3007"/>
    <w:rsid w:val="00300DCF"/>
    <w:rsid w:val="0032709A"/>
    <w:rsid w:val="00365C92"/>
    <w:rsid w:val="00366370"/>
    <w:rsid w:val="00401579"/>
    <w:rsid w:val="004211D4"/>
    <w:rsid w:val="00432437"/>
    <w:rsid w:val="00456756"/>
    <w:rsid w:val="004F293C"/>
    <w:rsid w:val="00536C54"/>
    <w:rsid w:val="005F014F"/>
    <w:rsid w:val="00601898"/>
    <w:rsid w:val="00620642"/>
    <w:rsid w:val="00636957"/>
    <w:rsid w:val="00683284"/>
    <w:rsid w:val="007034E4"/>
    <w:rsid w:val="00716673"/>
    <w:rsid w:val="00743E3E"/>
    <w:rsid w:val="00780DCE"/>
    <w:rsid w:val="008C4DBA"/>
    <w:rsid w:val="008D5540"/>
    <w:rsid w:val="009D7C3E"/>
    <w:rsid w:val="009E1339"/>
    <w:rsid w:val="00A21871"/>
    <w:rsid w:val="00AA60A1"/>
    <w:rsid w:val="00B303F7"/>
    <w:rsid w:val="00B56DAC"/>
    <w:rsid w:val="00BA7954"/>
    <w:rsid w:val="00BF61F2"/>
    <w:rsid w:val="00C41771"/>
    <w:rsid w:val="00CD55E7"/>
    <w:rsid w:val="00CE37D8"/>
    <w:rsid w:val="00D65E4A"/>
    <w:rsid w:val="00DC7DC3"/>
    <w:rsid w:val="00E16906"/>
    <w:rsid w:val="00E57BFD"/>
    <w:rsid w:val="00E97C11"/>
    <w:rsid w:val="00EC1F2E"/>
    <w:rsid w:val="00F145DB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customStyle="1" w:styleId="hps">
    <w:name w:val="hps"/>
    <w:basedOn w:val="DefaultParagraphFont"/>
    <w:rsid w:val="001F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customStyle="1" w:styleId="hps">
    <w:name w:val="hps"/>
    <w:basedOn w:val="DefaultParagraphFont"/>
    <w:rsid w:val="001F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4E92-393E-4783-AA96-7A462407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UNICEF</cp:lastModifiedBy>
  <cp:revision>2</cp:revision>
  <cp:lastPrinted>2011-10-27T16:06:00Z</cp:lastPrinted>
  <dcterms:created xsi:type="dcterms:W3CDTF">2012-09-17T18:10:00Z</dcterms:created>
  <dcterms:modified xsi:type="dcterms:W3CDTF">2012-09-17T18:10:00Z</dcterms:modified>
</cp:coreProperties>
</file>